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F564" w14:textId="2A34DDD6" w:rsidR="005713A1" w:rsidRDefault="005713A1" w:rsidP="00FA0CDA">
      <w:pPr>
        <w:pStyle w:val="Title"/>
      </w:pPr>
      <w:r>
        <w:rPr>
          <w:noProof/>
        </w:rPr>
        <w:drawing>
          <wp:anchor distT="0" distB="0" distL="114300" distR="114300" simplePos="0" relativeHeight="251658240" behindDoc="1" locked="0" layoutInCell="1" allowOverlap="1" wp14:anchorId="492F32C8" wp14:editId="64659ADF">
            <wp:simplePos x="0" y="0"/>
            <wp:positionH relativeFrom="margin">
              <wp:posOffset>-266700</wp:posOffset>
            </wp:positionH>
            <wp:positionV relativeFrom="paragraph">
              <wp:posOffset>-365760</wp:posOffset>
            </wp:positionV>
            <wp:extent cx="2148840" cy="762783"/>
            <wp:effectExtent l="0" t="0" r="3810" b="0"/>
            <wp:wrapNone/>
            <wp:docPr id="1826229919"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29919" name="Picture 2" descr="A logo for a company&#10;&#10;Description automatically generated"/>
                    <pic:cNvPicPr/>
                  </pic:nvPicPr>
                  <pic:blipFill rotWithShape="1">
                    <a:blip r:embed="rId11" cstate="print">
                      <a:extLst>
                        <a:ext uri="{28A0092B-C50C-407E-A947-70E740481C1C}">
                          <a14:useLocalDpi xmlns:a14="http://schemas.microsoft.com/office/drawing/2010/main" val="0"/>
                        </a:ext>
                      </a:extLst>
                    </a:blip>
                    <a:srcRect t="19283" b="21537"/>
                    <a:stretch/>
                  </pic:blipFill>
                  <pic:spPr bwMode="auto">
                    <a:xfrm>
                      <a:off x="0" y="0"/>
                      <a:ext cx="2148840" cy="762783"/>
                    </a:xfrm>
                    <a:prstGeom prst="rect">
                      <a:avLst/>
                    </a:prstGeom>
                    <a:ln>
                      <a:noFill/>
                    </a:ln>
                    <a:extLst>
                      <a:ext uri="{53640926-AAD7-44D8-BBD7-CCE9431645EC}">
                        <a14:shadowObscured xmlns:a14="http://schemas.microsoft.com/office/drawing/2010/main"/>
                      </a:ext>
                    </a:extLst>
                  </pic:spPr>
                </pic:pic>
              </a:graphicData>
            </a:graphic>
          </wp:anchor>
        </w:drawing>
      </w:r>
    </w:p>
    <w:p w14:paraId="07E0EE8C" w14:textId="77777777" w:rsidR="0055691A" w:rsidRDefault="0055691A" w:rsidP="004C4822">
      <w:pPr>
        <w:pStyle w:val="Title"/>
        <w:rPr>
          <w:rFonts w:eastAsia="Calibri"/>
        </w:rPr>
      </w:pPr>
      <w:r w:rsidRPr="4AC8E69E">
        <w:rPr>
          <w:rFonts w:eastAsia="Calibri"/>
        </w:rPr>
        <w:t>Data Protection Policy</w:t>
      </w:r>
    </w:p>
    <w:p w14:paraId="73843180" w14:textId="1B086781" w:rsidR="004C4822" w:rsidRPr="004C4822" w:rsidRDefault="004C4822" w:rsidP="004C4822">
      <w:pPr>
        <w:pStyle w:val="Subtitle"/>
      </w:pPr>
      <w:r>
        <w:t>Template – Version 7</w:t>
      </w:r>
    </w:p>
    <w:p w14:paraId="5B2C386A" w14:textId="77777777" w:rsidR="0055691A" w:rsidRDefault="0055691A" w:rsidP="004C4822">
      <w:pPr>
        <w:pStyle w:val="Heading1"/>
      </w:pPr>
      <w:r w:rsidRPr="3AEB2994">
        <w:t>Introduction</w:t>
      </w:r>
    </w:p>
    <w:p w14:paraId="4A7D2641" w14:textId="77777777" w:rsidR="0055691A" w:rsidRDefault="0055691A" w:rsidP="00814BA9">
      <w:pPr>
        <w:pStyle w:val="ListParagraph"/>
      </w:pPr>
      <w:r w:rsidRPr="3A192487">
        <w:t xml:space="preserve">This Data Protection Policy is </w:t>
      </w:r>
      <w:r w:rsidRPr="004C4822">
        <w:t>the</w:t>
      </w:r>
      <w:r w:rsidRPr="3A192487">
        <w:t xml:space="preserve"> </w:t>
      </w:r>
      <w:r w:rsidRPr="00B9683B">
        <w:t>overarching</w:t>
      </w:r>
      <w:r w:rsidRPr="3A192487">
        <w:t xml:space="preserve"> policy for data security and protection for </w:t>
      </w:r>
      <w:r w:rsidRPr="3A192487">
        <w:rPr>
          <w:b/>
          <w:bCs/>
          <w:i/>
          <w:iCs/>
          <w:u w:val="single"/>
        </w:rPr>
        <w:t>insert organisation name here</w:t>
      </w:r>
      <w:r w:rsidRPr="3A192487">
        <w:t xml:space="preserve"> (hereafter </w:t>
      </w:r>
      <w:r w:rsidRPr="004C4822">
        <w:t>referred</w:t>
      </w:r>
      <w:r w:rsidRPr="3A192487">
        <w:t xml:space="preserve"> to as "us", "we", or "our"). </w:t>
      </w:r>
    </w:p>
    <w:p w14:paraId="3E316D18" w14:textId="77777777" w:rsidR="0055691A" w:rsidRDefault="0055691A" w:rsidP="004C4822">
      <w:pPr>
        <w:pStyle w:val="Heading1"/>
      </w:pPr>
      <w:r w:rsidRPr="3AEB2994">
        <w:t>Purpose</w:t>
      </w:r>
    </w:p>
    <w:p w14:paraId="093317A0" w14:textId="336BBC87" w:rsidR="0055691A" w:rsidRDefault="0055691A" w:rsidP="00814BA9">
      <w:pPr>
        <w:pStyle w:val="ListParagraph"/>
      </w:pPr>
      <w:r w:rsidRPr="3AEB2994">
        <w:t xml:space="preserve">The purpose of the Data Protection Policy is to support the 10 Data Security Standards, the General Data Protection Regulation (2016), the Data Protection Act (2018), the common law duty of </w:t>
      </w:r>
      <w:r w:rsidRPr="004C4822">
        <w:t>confidentiality</w:t>
      </w:r>
      <w:r w:rsidRPr="3AEB2994">
        <w:t xml:space="preserve"> and all other relevant national legislation. We recognise data protection as a fundamental right and embrace the principles of data protection by design and by default.</w:t>
      </w:r>
    </w:p>
    <w:p w14:paraId="081E09CE" w14:textId="77777777" w:rsidR="0055691A" w:rsidRDefault="0055691A" w:rsidP="00814BA9">
      <w:pPr>
        <w:pStyle w:val="ListParagraph"/>
      </w:pPr>
      <w:r w:rsidRPr="3A192487">
        <w:t>This policy covers:</w:t>
      </w:r>
    </w:p>
    <w:p w14:paraId="75473449" w14:textId="77777777" w:rsidR="003A08A2" w:rsidRDefault="0055691A" w:rsidP="00814BA9">
      <w:pPr>
        <w:pStyle w:val="ListParagraph"/>
        <w:numPr>
          <w:ilvl w:val="2"/>
          <w:numId w:val="10"/>
        </w:numPr>
      </w:pPr>
      <w:r w:rsidRPr="003A08A2">
        <w:t xml:space="preserve">Our data protection principles and commitment to common law and legislative </w:t>
      </w:r>
      <w:proofErr w:type="gramStart"/>
      <w:r w:rsidRPr="003A08A2">
        <w:t>compliance;</w:t>
      </w:r>
      <w:proofErr w:type="gramEnd"/>
    </w:p>
    <w:p w14:paraId="330F9E0A" w14:textId="68B14F97" w:rsidR="0055691A" w:rsidRPr="003A08A2" w:rsidRDefault="0055691A" w:rsidP="00814BA9">
      <w:pPr>
        <w:pStyle w:val="ListParagraph"/>
        <w:numPr>
          <w:ilvl w:val="2"/>
          <w:numId w:val="10"/>
        </w:numPr>
      </w:pPr>
      <w:r w:rsidRPr="003A08A2">
        <w:t>procedures for data protection by design and by default.</w:t>
      </w:r>
    </w:p>
    <w:p w14:paraId="792EB9D9" w14:textId="77777777" w:rsidR="0055691A" w:rsidRDefault="0055691A" w:rsidP="004C4822">
      <w:pPr>
        <w:pStyle w:val="Heading1"/>
      </w:pPr>
      <w:r w:rsidRPr="3AEB2994">
        <w:t>Scope</w:t>
      </w:r>
    </w:p>
    <w:p w14:paraId="109CC055" w14:textId="77777777" w:rsidR="0055691A" w:rsidRDefault="0055691A" w:rsidP="00814BA9">
      <w:pPr>
        <w:pStyle w:val="ListParagraph"/>
      </w:pPr>
      <w:r w:rsidRPr="3AEB2994">
        <w:t>This policy includes in its scope all data which we process either in hardcopy or digital copy, this includes special categories of data.</w:t>
      </w:r>
    </w:p>
    <w:p w14:paraId="688B3227" w14:textId="77777777" w:rsidR="0055691A" w:rsidRPr="003F79C3" w:rsidRDefault="0055691A" w:rsidP="00814BA9">
      <w:pPr>
        <w:pStyle w:val="ListParagraph"/>
      </w:pPr>
      <w:r w:rsidRPr="3AEB2994">
        <w:t xml:space="preserve">This policy applies to all staff, including temporary staff and contractors. </w:t>
      </w:r>
    </w:p>
    <w:p w14:paraId="3F0FE1A1" w14:textId="77777777" w:rsidR="0055691A" w:rsidRDefault="0055691A" w:rsidP="004C4822">
      <w:pPr>
        <w:pStyle w:val="Heading1"/>
      </w:pPr>
      <w:r w:rsidRPr="3AEB2994">
        <w:lastRenderedPageBreak/>
        <w:t>Principles</w:t>
      </w:r>
    </w:p>
    <w:p w14:paraId="5F4FA0B3" w14:textId="77777777" w:rsidR="0055691A" w:rsidRDefault="0055691A" w:rsidP="00814BA9">
      <w:pPr>
        <w:pStyle w:val="ListParagraph"/>
      </w:pPr>
      <w:r w:rsidRPr="3AEB2994">
        <w:t>We will be open and transparent with service users and those who lawfully act on their behalf in relation to their care and treatment. We will adhere to our duty of candour responsibilities as outlined in the Health and Social Care Act 2012.</w:t>
      </w:r>
    </w:p>
    <w:p w14:paraId="0CD4CA3F" w14:textId="77777777" w:rsidR="0055691A" w:rsidRDefault="0055691A" w:rsidP="00814BA9">
      <w:pPr>
        <w:pStyle w:val="ListParagraph"/>
      </w:pPr>
      <w:r w:rsidRPr="3AEB2994">
        <w:t xml:space="preserve">We will establish and maintain policies to ensure compliance with the Data Protection Act 2018, Human Rights Act 1998, the common law duty of confidentiality, the General Data Protection </w:t>
      </w:r>
      <w:proofErr w:type="gramStart"/>
      <w:r w:rsidRPr="3AEB2994">
        <w:t>Regulation</w:t>
      </w:r>
      <w:proofErr w:type="gramEnd"/>
      <w:r w:rsidRPr="3AEB2994">
        <w:t xml:space="preserve"> and all other relevant legislation.</w:t>
      </w:r>
    </w:p>
    <w:p w14:paraId="6B368003" w14:textId="77777777" w:rsidR="009A3911" w:rsidRDefault="0055691A" w:rsidP="00814BA9">
      <w:pPr>
        <w:pStyle w:val="ListParagraph"/>
      </w:pPr>
      <w:r w:rsidRPr="3AEB2994">
        <w:t>We</w:t>
      </w:r>
      <w:r w:rsidRPr="3AEB2994">
        <w:rPr>
          <w:b/>
          <w:bCs/>
        </w:rPr>
        <w:t xml:space="preserve"> </w:t>
      </w:r>
      <w:r w:rsidRPr="3AEB2994">
        <w:t>will establish and maintain policies for the controlled and appropriate sharing of service user and staff information with other agencies, taking account all relevant legislation and citizen consent.</w:t>
      </w:r>
    </w:p>
    <w:p w14:paraId="202AD302" w14:textId="378E5A99" w:rsidR="0055691A" w:rsidRPr="009A3911" w:rsidRDefault="0055691A" w:rsidP="00814BA9">
      <w:pPr>
        <w:pStyle w:val="ListParagraph"/>
      </w:pPr>
      <w:r w:rsidRPr="009A3911">
        <w:t xml:space="preserve">Where consent is required for the processing of personal </w:t>
      </w:r>
      <w:proofErr w:type="gramStart"/>
      <w:r w:rsidRPr="009A3911">
        <w:t>data</w:t>
      </w:r>
      <w:proofErr w:type="gramEnd"/>
      <w:r w:rsidRPr="009A3911">
        <w:t xml:space="preserve"> we will ensure that informed and explicit consent will be obtained and documented in clear, accessible language and in an appropriate format. The individual can withdraw consent at any time through processes which have been explained to them and which are outlined in our Record Keeping Policy: Withdrawal of Consent procedures. We ensure that it is as easy to withdraw as to give consent. </w:t>
      </w:r>
    </w:p>
    <w:p w14:paraId="25EDB4D7" w14:textId="77777777" w:rsidR="0055691A" w:rsidRDefault="0055691A" w:rsidP="00814BA9">
      <w:pPr>
        <w:pStyle w:val="ListParagraph"/>
      </w:pPr>
      <w:r w:rsidRPr="3AEB2994">
        <w:t>We</w:t>
      </w:r>
      <w:r w:rsidRPr="3AEB2994">
        <w:rPr>
          <w:b/>
          <w:bCs/>
        </w:rPr>
        <w:t xml:space="preserve"> </w:t>
      </w:r>
      <w:r w:rsidRPr="3AEB2994">
        <w:t xml:space="preserve">will undertake / commission </w:t>
      </w:r>
      <w:r w:rsidRPr="3AEB2994">
        <w:rPr>
          <w:b/>
          <w:bCs/>
        </w:rPr>
        <w:t>delete as appropriate</w:t>
      </w:r>
      <w:r w:rsidRPr="3AEB2994">
        <w:t xml:space="preserve"> annual audits of our compliance with legal requirements.</w:t>
      </w:r>
    </w:p>
    <w:p w14:paraId="2B3F7007" w14:textId="77777777" w:rsidR="0055691A" w:rsidRDefault="0055691A" w:rsidP="00814BA9">
      <w:pPr>
        <w:pStyle w:val="ListParagraph"/>
      </w:pPr>
      <w:r w:rsidRPr="3AEB2994">
        <w:t>We acknowledge our accountability in ensuring that personal data shall be:</w:t>
      </w:r>
    </w:p>
    <w:p w14:paraId="3BB980CE" w14:textId="11A6E9FB" w:rsidR="0055691A" w:rsidRDefault="0055691A" w:rsidP="002C432B">
      <w:pPr>
        <w:pStyle w:val="ListParagraph"/>
        <w:numPr>
          <w:ilvl w:val="2"/>
          <w:numId w:val="9"/>
        </w:numPr>
        <w:ind w:left="1571"/>
      </w:pPr>
      <w:r w:rsidRPr="3AEB2994">
        <w:t xml:space="preserve">Processed lawfully, fairly and in a transparent </w:t>
      </w:r>
      <w:proofErr w:type="gramStart"/>
      <w:r w:rsidRPr="3AEB2994">
        <w:t>manner;</w:t>
      </w:r>
      <w:proofErr w:type="gramEnd"/>
    </w:p>
    <w:p w14:paraId="568F2485" w14:textId="77777777" w:rsidR="0055691A" w:rsidRDefault="0055691A" w:rsidP="002C432B">
      <w:pPr>
        <w:pStyle w:val="ListParagraph"/>
        <w:numPr>
          <w:ilvl w:val="2"/>
          <w:numId w:val="9"/>
        </w:numPr>
        <w:ind w:left="1571"/>
      </w:pPr>
      <w:r w:rsidRPr="3AEB2994">
        <w:t xml:space="preserve">Collected for specified, explicit and legitimate purposes and not further processed in a manner that is incompatible with those </w:t>
      </w:r>
      <w:proofErr w:type="gramStart"/>
      <w:r w:rsidRPr="3AEB2994">
        <w:t>purposes;</w:t>
      </w:r>
      <w:proofErr w:type="gramEnd"/>
    </w:p>
    <w:p w14:paraId="4C78D94F" w14:textId="77777777" w:rsidR="0055691A" w:rsidRPr="00F450B3" w:rsidRDefault="0055691A" w:rsidP="002C432B">
      <w:pPr>
        <w:pStyle w:val="ListParagraph"/>
        <w:numPr>
          <w:ilvl w:val="2"/>
          <w:numId w:val="9"/>
        </w:numPr>
        <w:ind w:left="1571"/>
      </w:pPr>
      <w:r w:rsidRPr="3AEB2994">
        <w:t>Adequate, relevant and limited to what is necessary in relation to the purposes for which they are processed (‘data minimisation’</w:t>
      </w:r>
      <w:proofErr w:type="gramStart"/>
      <w:r w:rsidRPr="3AEB2994">
        <w:t>);</w:t>
      </w:r>
      <w:proofErr w:type="gramEnd"/>
    </w:p>
    <w:p w14:paraId="5335811E" w14:textId="77777777" w:rsidR="0055691A" w:rsidRDefault="0055691A" w:rsidP="002C432B">
      <w:pPr>
        <w:pStyle w:val="ListParagraph"/>
        <w:numPr>
          <w:ilvl w:val="2"/>
          <w:numId w:val="9"/>
        </w:numPr>
        <w:ind w:left="1571"/>
      </w:pPr>
      <w:r w:rsidRPr="3AEB2994">
        <w:t xml:space="preserve">Accurate and kept up to </w:t>
      </w:r>
      <w:proofErr w:type="gramStart"/>
      <w:r w:rsidRPr="3AEB2994">
        <w:t>date;</w:t>
      </w:r>
      <w:proofErr w:type="gramEnd"/>
    </w:p>
    <w:p w14:paraId="46A7386F" w14:textId="77777777" w:rsidR="0055691A" w:rsidRDefault="0055691A" w:rsidP="002C432B">
      <w:pPr>
        <w:pStyle w:val="ListParagraph"/>
        <w:numPr>
          <w:ilvl w:val="2"/>
          <w:numId w:val="9"/>
        </w:numPr>
        <w:ind w:left="1571"/>
      </w:pPr>
      <w:r w:rsidRPr="3AEB2994">
        <w:t>Kept in a form which permits identification of data subjects for no longer than is necessary for the purposes for which the personal data are processed (‘storage limitation’</w:t>
      </w:r>
      <w:proofErr w:type="gramStart"/>
      <w:r w:rsidRPr="3AEB2994">
        <w:t>);</w:t>
      </w:r>
      <w:proofErr w:type="gramEnd"/>
    </w:p>
    <w:p w14:paraId="182CE0AE" w14:textId="77777777" w:rsidR="0055691A" w:rsidRDefault="0055691A" w:rsidP="002C432B">
      <w:pPr>
        <w:pStyle w:val="ListParagraph"/>
        <w:numPr>
          <w:ilvl w:val="2"/>
          <w:numId w:val="9"/>
        </w:numPr>
        <w:ind w:left="1571"/>
      </w:pPr>
      <w:r w:rsidRPr="3AEB2994">
        <w:t>Processed in a manner that ensures appropriate security of the personal data.</w:t>
      </w:r>
    </w:p>
    <w:p w14:paraId="0CB42B56" w14:textId="77777777" w:rsidR="0055691A" w:rsidRDefault="0055691A" w:rsidP="00814BA9">
      <w:pPr>
        <w:pStyle w:val="ListParagraph"/>
      </w:pPr>
      <w:r w:rsidRPr="3AEB2994">
        <w:lastRenderedPageBreak/>
        <w:t>We uphold the personal data rights outlined in the GDPR:</w:t>
      </w:r>
    </w:p>
    <w:p w14:paraId="76EF3797" w14:textId="77777777" w:rsidR="0055691A" w:rsidRDefault="0055691A" w:rsidP="002E6129">
      <w:pPr>
        <w:pStyle w:val="ListParagraph"/>
        <w:numPr>
          <w:ilvl w:val="2"/>
          <w:numId w:val="9"/>
        </w:numPr>
        <w:ind w:left="1571"/>
      </w:pPr>
      <w:r w:rsidRPr="3AEB2994">
        <w:t xml:space="preserve">The right to be </w:t>
      </w:r>
      <w:proofErr w:type="gramStart"/>
      <w:r w:rsidRPr="3AEB2994">
        <w:t>informed;</w:t>
      </w:r>
      <w:proofErr w:type="gramEnd"/>
    </w:p>
    <w:p w14:paraId="52348248" w14:textId="77777777" w:rsidR="0055691A" w:rsidRDefault="0055691A" w:rsidP="002E6129">
      <w:pPr>
        <w:pStyle w:val="ListParagraph"/>
        <w:numPr>
          <w:ilvl w:val="2"/>
          <w:numId w:val="9"/>
        </w:numPr>
        <w:ind w:left="1571"/>
      </w:pPr>
      <w:r w:rsidRPr="3AEB2994">
        <w:t xml:space="preserve">The right of </w:t>
      </w:r>
      <w:proofErr w:type="gramStart"/>
      <w:r w:rsidRPr="3AEB2994">
        <w:t>access;</w:t>
      </w:r>
      <w:proofErr w:type="gramEnd"/>
    </w:p>
    <w:p w14:paraId="4376E9AF" w14:textId="77777777" w:rsidR="0055691A" w:rsidRDefault="0055691A" w:rsidP="00923AE2">
      <w:pPr>
        <w:pStyle w:val="ListParagraph"/>
        <w:numPr>
          <w:ilvl w:val="2"/>
          <w:numId w:val="9"/>
        </w:numPr>
        <w:ind w:left="1571"/>
      </w:pPr>
      <w:r w:rsidRPr="3AEB2994">
        <w:t xml:space="preserve">The right to </w:t>
      </w:r>
      <w:proofErr w:type="gramStart"/>
      <w:r w:rsidRPr="3AEB2994">
        <w:t>rectification;</w:t>
      </w:r>
      <w:proofErr w:type="gramEnd"/>
    </w:p>
    <w:p w14:paraId="43EFBD22" w14:textId="77777777" w:rsidR="0055691A" w:rsidRDefault="0055691A" w:rsidP="00923AE2">
      <w:pPr>
        <w:pStyle w:val="ListParagraph"/>
        <w:numPr>
          <w:ilvl w:val="2"/>
          <w:numId w:val="9"/>
        </w:numPr>
        <w:ind w:left="1571"/>
      </w:pPr>
      <w:r w:rsidRPr="3AEB2994">
        <w:t xml:space="preserve">The right to </w:t>
      </w:r>
      <w:proofErr w:type="gramStart"/>
      <w:r w:rsidRPr="3AEB2994">
        <w:t>erasure;</w:t>
      </w:r>
      <w:proofErr w:type="gramEnd"/>
    </w:p>
    <w:p w14:paraId="5F37A408" w14:textId="77777777" w:rsidR="0055691A" w:rsidRDefault="0055691A" w:rsidP="00923AE2">
      <w:pPr>
        <w:pStyle w:val="ListParagraph"/>
        <w:numPr>
          <w:ilvl w:val="2"/>
          <w:numId w:val="9"/>
        </w:numPr>
        <w:ind w:left="1571"/>
      </w:pPr>
      <w:r w:rsidRPr="3AEB2994">
        <w:t xml:space="preserve">The right to restrict </w:t>
      </w:r>
      <w:proofErr w:type="gramStart"/>
      <w:r w:rsidRPr="3AEB2994">
        <w:t>processing;</w:t>
      </w:r>
      <w:proofErr w:type="gramEnd"/>
    </w:p>
    <w:p w14:paraId="749CA936" w14:textId="77777777" w:rsidR="0055691A" w:rsidRDefault="0055691A" w:rsidP="00923AE2">
      <w:pPr>
        <w:pStyle w:val="ListParagraph"/>
        <w:numPr>
          <w:ilvl w:val="2"/>
          <w:numId w:val="9"/>
        </w:numPr>
        <w:ind w:left="1571"/>
      </w:pPr>
      <w:r w:rsidRPr="3AEB2994">
        <w:t xml:space="preserve">The right to data </w:t>
      </w:r>
      <w:proofErr w:type="gramStart"/>
      <w:r w:rsidRPr="3AEB2994">
        <w:t>portability;</w:t>
      </w:r>
      <w:proofErr w:type="gramEnd"/>
    </w:p>
    <w:p w14:paraId="39146272" w14:textId="77777777" w:rsidR="0055691A" w:rsidRDefault="0055691A" w:rsidP="00923AE2">
      <w:pPr>
        <w:pStyle w:val="ListParagraph"/>
        <w:numPr>
          <w:ilvl w:val="2"/>
          <w:numId w:val="9"/>
        </w:numPr>
        <w:ind w:left="1571"/>
      </w:pPr>
      <w:r w:rsidRPr="3AEB2994">
        <w:t xml:space="preserve">The right to </w:t>
      </w:r>
      <w:proofErr w:type="gramStart"/>
      <w:r w:rsidRPr="3AEB2994">
        <w:t>object;</w:t>
      </w:r>
      <w:proofErr w:type="gramEnd"/>
    </w:p>
    <w:p w14:paraId="5E11838F" w14:textId="77777777" w:rsidR="0055691A" w:rsidRDefault="0055691A" w:rsidP="00923AE2">
      <w:pPr>
        <w:pStyle w:val="ListParagraph"/>
        <w:numPr>
          <w:ilvl w:val="2"/>
          <w:numId w:val="9"/>
        </w:numPr>
        <w:ind w:left="1571"/>
      </w:pPr>
      <w:r w:rsidRPr="3AEB2994">
        <w:t>Rights in relation to automated decision making and profiling.</w:t>
      </w:r>
    </w:p>
    <w:p w14:paraId="60F0DE1D" w14:textId="77777777" w:rsidR="0055691A" w:rsidRDefault="0055691A" w:rsidP="00814BA9">
      <w:pPr>
        <w:pStyle w:val="ListParagraph"/>
        <w:rPr>
          <w:b/>
          <w:bCs/>
        </w:rPr>
      </w:pPr>
      <w:r w:rsidRPr="3AEB2994">
        <w:rPr>
          <w:b/>
          <w:bCs/>
        </w:rPr>
        <w:t xml:space="preserve">Please see </w:t>
      </w:r>
      <w:hyperlink r:id="rId12">
        <w:r w:rsidRPr="3AEB2994">
          <w:rPr>
            <w:rStyle w:val="Hyperlink"/>
          </w:rPr>
          <w:t>our guidance on data security and protection responsibilities</w:t>
        </w:r>
      </w:hyperlink>
      <w:r w:rsidRPr="3AEB2994">
        <w:rPr>
          <w:b/>
          <w:bCs/>
        </w:rPr>
        <w:t xml:space="preserve"> for help deciding whether it is necessary for your organisation to have a Data Protection Officer (DPO). If you decide that you require a DPO you might use the following:</w:t>
      </w:r>
    </w:p>
    <w:p w14:paraId="11AAE276" w14:textId="0A14F9A9" w:rsidR="0055691A" w:rsidRDefault="0055691A" w:rsidP="004002A3">
      <w:pPr>
        <w:ind w:left="720"/>
      </w:pPr>
      <w:r w:rsidRPr="3AEB2994">
        <w:t>In line with legislation, we employ a Data Protection Officer (DPO) who will report to the highest management level of the organisation. We will support the DPO with the necessary resources to carry out their tasks and ensure that they can maintain expertise. We guarantee that the DPO will not be pressured on how to carry out their tasks, and that they are protected from disciplinary action when carrying out the tasks associated with their role.</w:t>
      </w:r>
    </w:p>
    <w:p w14:paraId="63BE93B8" w14:textId="77777777" w:rsidR="0055691A" w:rsidRPr="00020A5E" w:rsidRDefault="0055691A" w:rsidP="002E6DCE">
      <w:pPr>
        <w:ind w:left="720"/>
        <w:rPr>
          <w:b/>
          <w:bCs/>
        </w:rPr>
      </w:pPr>
      <w:r w:rsidRPr="00020A5E">
        <w:rPr>
          <w:b/>
          <w:bCs/>
        </w:rPr>
        <w:t xml:space="preserve">If you decide that you do not require a Data Protection </w:t>
      </w:r>
      <w:proofErr w:type="gramStart"/>
      <w:r w:rsidRPr="00020A5E">
        <w:rPr>
          <w:b/>
          <w:bCs/>
        </w:rPr>
        <w:t>Officer</w:t>
      </w:r>
      <w:proofErr w:type="gramEnd"/>
      <w:r w:rsidRPr="00020A5E">
        <w:rPr>
          <w:b/>
          <w:bCs/>
        </w:rPr>
        <w:t xml:space="preserve"> you might use the following words. You should make sure that there is somebody who is responsible for data security and protection within your organisation, though you do not have to call them a Data Security and Protection Lead: </w:t>
      </w:r>
    </w:p>
    <w:p w14:paraId="2BAA33DB" w14:textId="4AB9939C" w:rsidR="0055691A" w:rsidRDefault="0055691A" w:rsidP="00020A5E">
      <w:pPr>
        <w:ind w:left="720"/>
      </w:pPr>
      <w:r w:rsidRPr="3AEB2994">
        <w:t xml:space="preserve">Due to our size, we have determined that we are not required to have a Data Protection Officer (DPO), as we do not process special categories of data on a large scale. Nonetheless, to ensure that every individual’s data rights are respected and that there are the highest levels of data security and protection in our organisation, we have appointed a member of staff to be our Data Security and Protection Lead. The Data Security and Protection Lead will report to the highest management level of the organisation. We will support the Data Security and Protection Lead with the </w:t>
      </w:r>
      <w:r w:rsidRPr="3AEB2994">
        <w:lastRenderedPageBreak/>
        <w:t>necessary resources to carry out their tasks and ensure that they can maintain expertise.</w:t>
      </w:r>
    </w:p>
    <w:p w14:paraId="3B942895" w14:textId="58CC926C" w:rsidR="0055691A" w:rsidRPr="00085F3B" w:rsidRDefault="0055691A" w:rsidP="00923AE2">
      <w:pPr>
        <w:pStyle w:val="ListParagraph"/>
        <w:rPr>
          <w:b/>
          <w:bCs/>
        </w:rPr>
      </w:pPr>
      <w:r w:rsidRPr="3AEB2994">
        <w:t xml:space="preserve">We complete the Data Security and Protection Toolkit on an annual basis and our publication status can be found here: </w:t>
      </w:r>
      <w:hyperlink r:id="rId13">
        <w:r w:rsidRPr="3AEB2994">
          <w:rPr>
            <w:rStyle w:val="Hyperlink"/>
          </w:rPr>
          <w:t>https://www.dsptoolkit.nhs.uk/OrganisationSearch</w:t>
        </w:r>
      </w:hyperlink>
      <w:r w:rsidRPr="3AEB2994">
        <w:t xml:space="preserve"> </w:t>
      </w:r>
      <w:r w:rsidRPr="3AEB2994">
        <w:rPr>
          <w:b/>
          <w:bCs/>
        </w:rPr>
        <w:t xml:space="preserve">You can add the direct link to your publication status here. </w:t>
      </w:r>
    </w:p>
    <w:p w14:paraId="3DE5B5AB" w14:textId="77777777" w:rsidR="0055691A" w:rsidRDefault="0055691A" w:rsidP="00CC7E12">
      <w:pPr>
        <w:pStyle w:val="Heading1"/>
      </w:pPr>
      <w:r w:rsidRPr="3AEB2994">
        <w:t>Underpinning policies and procedures</w:t>
      </w:r>
    </w:p>
    <w:p w14:paraId="30773D49" w14:textId="77777777" w:rsidR="0055691A" w:rsidRPr="007C48A6" w:rsidRDefault="0055691A" w:rsidP="00B85BAD">
      <w:pPr>
        <w:rPr>
          <w:rFonts w:eastAsia="Calibri" w:cs="Calibri"/>
          <w:b/>
          <w:bCs/>
        </w:rPr>
      </w:pPr>
      <w:r w:rsidRPr="3AEB2994">
        <w:rPr>
          <w:rFonts w:eastAsia="Calibri" w:cs="Calibri"/>
          <w:b/>
          <w:bCs/>
        </w:rPr>
        <w:t>These policies and procedures are aligned with those which are requirements in the Data Security and Protection Toolkit (</w:t>
      </w:r>
      <w:hyperlink r:id="rId14">
        <w:r w:rsidRPr="3AEB2994">
          <w:rPr>
            <w:rStyle w:val="Hyperlink"/>
            <w:rFonts w:eastAsia="Calibri" w:cs="Calibri"/>
          </w:rPr>
          <w:t>www.dsptoolkit.nhs.uk</w:t>
        </w:r>
      </w:hyperlink>
      <w:r w:rsidRPr="3AEB2994">
        <w:rPr>
          <w:rFonts w:eastAsia="Calibri" w:cs="Calibri"/>
          <w:b/>
          <w:bCs/>
        </w:rPr>
        <w:t xml:space="preserve">). It is up to each organisation to assess whether they are necessary – for example, there is no need to have a Network Security Policy if you do not have a network. If you have policies which contain the same information, but which have different names then that’s also fine. </w:t>
      </w:r>
    </w:p>
    <w:p w14:paraId="6976DD07" w14:textId="77777777" w:rsidR="0055691A" w:rsidRDefault="0055691A" w:rsidP="00DE5A27">
      <w:r w:rsidRPr="3AEB2994">
        <w:t>This policy is underpinned by the following:</w:t>
      </w:r>
    </w:p>
    <w:p w14:paraId="100A48A3" w14:textId="77777777" w:rsidR="0055691A" w:rsidRDefault="0055691A" w:rsidP="00814BA9">
      <w:pPr>
        <w:pStyle w:val="ListParagraph"/>
      </w:pPr>
      <w:r w:rsidRPr="3AEB2994">
        <w:t xml:space="preserve">Data Quality Policy – outlines procedures to ensure the accuracy of records and the correction of </w:t>
      </w:r>
      <w:proofErr w:type="gramStart"/>
      <w:r w:rsidRPr="3AEB2994">
        <w:t>errors;</w:t>
      </w:r>
      <w:proofErr w:type="gramEnd"/>
    </w:p>
    <w:p w14:paraId="759148B0" w14:textId="77777777" w:rsidR="0055691A" w:rsidRDefault="0055691A" w:rsidP="00814BA9">
      <w:pPr>
        <w:pStyle w:val="ListParagraph"/>
      </w:pPr>
      <w:r w:rsidRPr="3AEB2994">
        <w:t xml:space="preserve">Record Keeping Policy – details transparency procedures, the management of records from creation to disposal (inclusive of retention and disposal procedures), information handling procedures, procedures for subject access requests, right to erasure, right to restrict processing, right to object, and withdrawal of consent to </w:t>
      </w:r>
      <w:proofErr w:type="gramStart"/>
      <w:r w:rsidRPr="3AEB2994">
        <w:t>share;</w:t>
      </w:r>
      <w:proofErr w:type="gramEnd"/>
      <w:r w:rsidRPr="3AEB2994">
        <w:t xml:space="preserve"> </w:t>
      </w:r>
    </w:p>
    <w:p w14:paraId="619E7FF9" w14:textId="77777777" w:rsidR="0055691A" w:rsidRDefault="0055691A" w:rsidP="00814BA9">
      <w:pPr>
        <w:pStyle w:val="ListParagraph"/>
      </w:pPr>
      <w:r w:rsidRPr="3AEB2994">
        <w:t xml:space="preserve">Data Security Policy – outlines procedures for the ensuring the security of data including the reporting of any data security </w:t>
      </w:r>
      <w:proofErr w:type="gramStart"/>
      <w:r w:rsidRPr="3AEB2994">
        <w:t>breach;</w:t>
      </w:r>
      <w:proofErr w:type="gramEnd"/>
    </w:p>
    <w:p w14:paraId="18A04D00" w14:textId="77777777" w:rsidR="0055691A" w:rsidRDefault="0055691A" w:rsidP="00814BA9">
      <w:pPr>
        <w:pStyle w:val="ListParagraph"/>
      </w:pPr>
      <w:r w:rsidRPr="3AEB2994">
        <w:t xml:space="preserve">Network Security Policy – outlines procedures for securing our </w:t>
      </w:r>
      <w:proofErr w:type="gramStart"/>
      <w:r w:rsidRPr="3AEB2994">
        <w:t>network;</w:t>
      </w:r>
      <w:proofErr w:type="gramEnd"/>
    </w:p>
    <w:p w14:paraId="58B6AECC" w14:textId="77777777" w:rsidR="0055691A" w:rsidRDefault="0055691A" w:rsidP="00814BA9">
      <w:pPr>
        <w:pStyle w:val="ListParagraph"/>
      </w:pPr>
      <w:r w:rsidRPr="3AEB2994">
        <w:t xml:space="preserve">Business Continuity Plan –outlines the procedures in the event of a security failure or disaster affecting digital systems or mass loss of hardcopy information necessary to the day to day running of our </w:t>
      </w:r>
      <w:proofErr w:type="gramStart"/>
      <w:r w:rsidRPr="3AEB2994">
        <w:t>organisation;</w:t>
      </w:r>
      <w:proofErr w:type="gramEnd"/>
    </w:p>
    <w:p w14:paraId="735CB1FB" w14:textId="77777777" w:rsidR="0055691A" w:rsidRDefault="0055691A" w:rsidP="00814BA9">
      <w:pPr>
        <w:pStyle w:val="ListParagraph"/>
      </w:pPr>
      <w:r w:rsidRPr="3AEB2994">
        <w:t>Staff Data Security Code of Conduct - provides staff with clear guidance on the disclosure of personal information.</w:t>
      </w:r>
    </w:p>
    <w:p w14:paraId="4624DD46" w14:textId="77777777" w:rsidR="0055691A" w:rsidRDefault="0055691A" w:rsidP="00CC7E12">
      <w:pPr>
        <w:pStyle w:val="Heading1"/>
      </w:pPr>
      <w:r w:rsidRPr="3AEB2994">
        <w:lastRenderedPageBreak/>
        <w:t>Data protection by design and by default</w:t>
      </w:r>
    </w:p>
    <w:p w14:paraId="0F49A046" w14:textId="77777777" w:rsidR="0055691A" w:rsidRPr="002E630E" w:rsidRDefault="0055691A" w:rsidP="00B85BAD">
      <w:pPr>
        <w:rPr>
          <w:rFonts w:eastAsia="Calibri" w:cs="Calibri"/>
          <w:b/>
          <w:bCs/>
        </w:rPr>
      </w:pPr>
      <w:r w:rsidRPr="3AEB2994">
        <w:rPr>
          <w:rFonts w:eastAsia="Calibri" w:cs="Calibri"/>
          <w:b/>
          <w:bCs/>
        </w:rPr>
        <w:t xml:space="preserve">We recognise that this will be new for much of the sector. There is extensive guidance from the Information Commissioner’s Office </w:t>
      </w:r>
      <w:hyperlink r:id="rId15">
        <w:r w:rsidRPr="3AEB2994">
          <w:rPr>
            <w:rStyle w:val="Hyperlink"/>
            <w:rFonts w:eastAsia="Calibri" w:cs="Calibri"/>
          </w:rPr>
          <w:t>here</w:t>
        </w:r>
      </w:hyperlink>
      <w:r w:rsidRPr="3AEB2994">
        <w:rPr>
          <w:rFonts w:eastAsia="Calibri" w:cs="Calibri"/>
          <w:b/>
          <w:bCs/>
        </w:rPr>
        <w:t xml:space="preserve"> – please note that this is not sector specific.</w:t>
      </w:r>
    </w:p>
    <w:p w14:paraId="169648BE" w14:textId="77777777" w:rsidR="0055691A" w:rsidRDefault="0055691A" w:rsidP="00814BA9">
      <w:pPr>
        <w:pStyle w:val="ListParagraph"/>
      </w:pPr>
      <w:r w:rsidRPr="3AEB2994">
        <w:t>We shall implement appropriate organisational and technical measures to uphold the principles outlined above. We will integrate necessary safeguards to any data processing to meet regulatory requirements and to protect individual’s data rights. This implementation will consider the nature, scope, purpose and context of any processing and the risks to the rights and freedoms of individuals caused by the processing.</w:t>
      </w:r>
    </w:p>
    <w:p w14:paraId="1E71540D" w14:textId="77777777" w:rsidR="0055691A" w:rsidRDefault="0055691A" w:rsidP="00814BA9">
      <w:pPr>
        <w:pStyle w:val="ListParagraph"/>
      </w:pPr>
      <w:r w:rsidRPr="3AEB2994">
        <w:t>We shall uphold the principles of data protection by design and by default from the beginning of any data processing and during the planning and implementation of any new data process.</w:t>
      </w:r>
    </w:p>
    <w:p w14:paraId="7CB244F2" w14:textId="77777777" w:rsidR="0055691A" w:rsidRDefault="0055691A" w:rsidP="00814BA9">
      <w:pPr>
        <w:pStyle w:val="ListParagraph"/>
      </w:pPr>
      <w:r w:rsidRPr="00511F68">
        <w:t>It is unlikely that any small organisation will be required to undertake a data protection impact assessment. Though it is considered best practice to do one for your care plans at a minimum.</w:t>
      </w:r>
      <w:r w:rsidRPr="3AEB2994">
        <w:t xml:space="preserve"> Prior to starting any new data processing, we will assess whether we should complete a Data Protection Impact Assessment (DPIA) using the </w:t>
      </w:r>
      <w:hyperlink r:id="rId16">
        <w:r w:rsidRPr="3AEB2994">
          <w:rPr>
            <w:rStyle w:val="Hyperlink"/>
          </w:rPr>
          <w:t>ICO’s screening checklist.</w:t>
        </w:r>
      </w:hyperlink>
      <w:r w:rsidRPr="3AEB2994">
        <w:t xml:space="preserve"> </w:t>
      </w:r>
    </w:p>
    <w:p w14:paraId="5E0BEA07" w14:textId="77777777" w:rsidR="0055691A" w:rsidRPr="00936471" w:rsidRDefault="0055691A" w:rsidP="00814BA9">
      <w:pPr>
        <w:pStyle w:val="ListParagraph"/>
      </w:pPr>
      <w:r w:rsidRPr="3AEB2994">
        <w:t>All new systems used for data processing will have data protection built in from the beginning of the system change.</w:t>
      </w:r>
    </w:p>
    <w:p w14:paraId="0A1E00F6" w14:textId="77777777" w:rsidR="0055691A" w:rsidRDefault="0055691A" w:rsidP="00814BA9">
      <w:pPr>
        <w:pStyle w:val="ListParagraph"/>
      </w:pPr>
      <w:r w:rsidRPr="3AEB2994">
        <w:t>All existing data processing has been recorded on our Record of Processing Activities. Each process has been risk assessed and is reviewed annually.</w:t>
      </w:r>
    </w:p>
    <w:p w14:paraId="3C179EDB" w14:textId="77777777" w:rsidR="0055691A" w:rsidRDefault="0055691A" w:rsidP="00814BA9">
      <w:pPr>
        <w:pStyle w:val="ListParagraph"/>
      </w:pPr>
      <w:r w:rsidRPr="3AEB2994">
        <w:t>We ensure that, by default, personal data is only processed when necessary for specific purposes and that individuals are therefore protected against privacy risks.</w:t>
      </w:r>
    </w:p>
    <w:p w14:paraId="713607F4" w14:textId="77777777" w:rsidR="0055691A" w:rsidRDefault="0055691A" w:rsidP="00814BA9">
      <w:pPr>
        <w:pStyle w:val="ListParagraph"/>
      </w:pPr>
      <w:r w:rsidRPr="3AEB2994">
        <w:t xml:space="preserve">In all processing of personal data, we use the least amount of identifiable data necessary to complete the work it is required </w:t>
      </w:r>
      <w:proofErr w:type="gramStart"/>
      <w:r w:rsidRPr="3AEB2994">
        <w:t>for</w:t>
      </w:r>
      <w:proofErr w:type="gramEnd"/>
      <w:r w:rsidRPr="3AEB2994">
        <w:t xml:space="preserve"> and we only keep the information for as long as it is required for the purposes of processing or any other legal requirement to retain it.</w:t>
      </w:r>
    </w:p>
    <w:p w14:paraId="40DC1806" w14:textId="77777777" w:rsidR="0055691A" w:rsidRDefault="0055691A" w:rsidP="00814BA9">
      <w:pPr>
        <w:pStyle w:val="ListParagraph"/>
      </w:pPr>
      <w:r w:rsidRPr="3AEB2994">
        <w:t xml:space="preserve">Where possible, we will use pseudonymised data to protect the privacy and confidentiality of our staff and those we support. </w:t>
      </w:r>
    </w:p>
    <w:p w14:paraId="569265BC" w14:textId="77777777" w:rsidR="0055691A" w:rsidRDefault="0055691A" w:rsidP="00CC7E12">
      <w:pPr>
        <w:pStyle w:val="Heading1"/>
      </w:pPr>
      <w:r w:rsidRPr="3AEB2994">
        <w:lastRenderedPageBreak/>
        <w:t>Responsibilities</w:t>
      </w:r>
    </w:p>
    <w:p w14:paraId="4955C90B" w14:textId="77777777" w:rsidR="0055691A" w:rsidRPr="00055FA2" w:rsidRDefault="0055691A" w:rsidP="00DE5A27">
      <w:pPr>
        <w:rPr>
          <w:rFonts w:eastAsia="Calibri" w:cs="Calibri"/>
          <w:b/>
          <w:bCs/>
        </w:rPr>
      </w:pPr>
      <w:r w:rsidRPr="3AEB2994">
        <w:rPr>
          <w:rFonts w:eastAsia="Calibri" w:cs="Calibri"/>
          <w:b/>
          <w:bCs/>
        </w:rPr>
        <w:t>You should update the responsibilities below based on what makes sense for your organisation, the following are suggestions. There should be an individual who deals with data security and protection day-to-day as part of their job and someone at senior management/board level who is responsible for data security and protection as well. Please note that a Data Protection Officer has specific legal requirements in the GDPR. Do not call someone a DPO unless you are satisfied that they can fulfil their legal requirements.</w:t>
      </w:r>
    </w:p>
    <w:p w14:paraId="7B0E8C79" w14:textId="77777777" w:rsidR="0055691A" w:rsidRDefault="0055691A" w:rsidP="00814BA9">
      <w:pPr>
        <w:pStyle w:val="ListParagraph"/>
      </w:pPr>
      <w:r w:rsidRPr="3AEB2994">
        <w:t>Our designated Data Security and Protection Lead</w:t>
      </w:r>
      <w:r w:rsidRPr="3AEB2994">
        <w:rPr>
          <w:b/>
          <w:bCs/>
        </w:rPr>
        <w:t xml:space="preserve"> </w:t>
      </w:r>
      <w:r w:rsidRPr="3AEB2994">
        <w:t xml:space="preserve">is </w:t>
      </w:r>
      <w:proofErr w:type="gramStart"/>
      <w:r w:rsidRPr="3AEB2994">
        <w:rPr>
          <w:b/>
          <w:bCs/>
          <w:i/>
          <w:iCs/>
          <w:u w:val="single"/>
        </w:rPr>
        <w:t>insert</w:t>
      </w:r>
      <w:proofErr w:type="gramEnd"/>
      <w:r w:rsidRPr="3AEB2994">
        <w:rPr>
          <w:b/>
          <w:bCs/>
          <w:i/>
          <w:iCs/>
          <w:u w:val="single"/>
        </w:rPr>
        <w:t xml:space="preserve"> name here</w:t>
      </w:r>
      <w:r w:rsidRPr="3AEB2994">
        <w:t>.</w:t>
      </w:r>
      <w:r w:rsidRPr="3AEB2994">
        <w:rPr>
          <w:b/>
          <w:bCs/>
        </w:rPr>
        <w:t xml:space="preserve"> </w:t>
      </w:r>
      <w:r w:rsidRPr="3AEB2994">
        <w:t>The key responsibilities of the lead are:</w:t>
      </w:r>
    </w:p>
    <w:p w14:paraId="78300A38" w14:textId="77777777" w:rsidR="0055691A" w:rsidRDefault="0055691A" w:rsidP="00814BA9">
      <w:pPr>
        <w:pStyle w:val="ListParagraph"/>
      </w:pPr>
      <w:r w:rsidRPr="3AEB2994">
        <w:t xml:space="preserve">To ensure the rights of individuals in terms of their personal data are upheld in all instances and that data collection, sharing and storage is in line with the Caldicott </w:t>
      </w:r>
      <w:proofErr w:type="gramStart"/>
      <w:r w:rsidRPr="3AEB2994">
        <w:t>Principles;</w:t>
      </w:r>
      <w:proofErr w:type="gramEnd"/>
    </w:p>
    <w:p w14:paraId="660507BE" w14:textId="77777777" w:rsidR="0055691A" w:rsidRDefault="0055691A" w:rsidP="00814BA9">
      <w:pPr>
        <w:pStyle w:val="ListParagraph"/>
      </w:pPr>
      <w:r w:rsidRPr="3AEB2994">
        <w:t xml:space="preserve">To define our data protection policy and procedures and all related policies, </w:t>
      </w:r>
      <w:proofErr w:type="gramStart"/>
      <w:r w:rsidRPr="3AEB2994">
        <w:t>procedures</w:t>
      </w:r>
      <w:proofErr w:type="gramEnd"/>
      <w:r w:rsidRPr="3AEB2994">
        <w:t xml:space="preserve"> and processes and to ensure that sufficient resources are provided to support the policy requirements.</w:t>
      </w:r>
    </w:p>
    <w:p w14:paraId="6A06F889" w14:textId="77777777" w:rsidR="0055691A" w:rsidRDefault="0055691A" w:rsidP="00814BA9">
      <w:pPr>
        <w:pStyle w:val="ListParagraph"/>
      </w:pPr>
      <w:r w:rsidRPr="3AEB2994">
        <w:t>To complete the Data Security &amp; Protection Toolkit (DSPT) annually and to maintain compliance with the DSPT.</w:t>
      </w:r>
    </w:p>
    <w:p w14:paraId="28798AEB" w14:textId="77777777" w:rsidR="0055691A" w:rsidRDefault="0055691A" w:rsidP="00814BA9">
      <w:pPr>
        <w:pStyle w:val="ListParagraph"/>
        <w:rPr>
          <w:b/>
          <w:bCs/>
        </w:rPr>
      </w:pPr>
      <w:r w:rsidRPr="3AEB2994">
        <w:t xml:space="preserve">To monitor information handling to ensure compliance with law, guidance and the organisation’s procedures and liaising with senior management and DPO to fulfil this work. </w:t>
      </w:r>
      <w:r w:rsidRPr="3AEB2994">
        <w:rPr>
          <w:b/>
          <w:bCs/>
        </w:rPr>
        <w:t>Please see the note above regarding DPOs and if they are relevant to your organisation.</w:t>
      </w:r>
    </w:p>
    <w:p w14:paraId="59D32978" w14:textId="77777777" w:rsidR="0055691A" w:rsidRDefault="0055691A" w:rsidP="00814BA9">
      <w:pPr>
        <w:pStyle w:val="ListParagraph"/>
      </w:pPr>
      <w:r w:rsidRPr="3AEB2994">
        <w:rPr>
          <w:b/>
          <w:bCs/>
        </w:rPr>
        <w:t>If applicable:</w:t>
      </w:r>
      <w:r w:rsidRPr="3AEB2994">
        <w:t xml:space="preserve"> Our designated DPO is </w:t>
      </w:r>
      <w:r w:rsidRPr="3AEB2994">
        <w:rPr>
          <w:b/>
          <w:bCs/>
          <w:i/>
          <w:iCs/>
          <w:u w:val="single"/>
        </w:rPr>
        <w:t>insert name here</w:t>
      </w:r>
      <w:r w:rsidRPr="3AEB2994">
        <w:t xml:space="preserve">, they can be contacted via email: </w:t>
      </w:r>
      <w:r w:rsidRPr="3AEB2994">
        <w:rPr>
          <w:b/>
          <w:bCs/>
          <w:i/>
          <w:iCs/>
          <w:u w:val="single"/>
        </w:rPr>
        <w:t>insert here</w:t>
      </w:r>
      <w:r w:rsidRPr="3AEB2994">
        <w:t xml:space="preserve">; phone: </w:t>
      </w:r>
      <w:r w:rsidRPr="3AEB2994">
        <w:rPr>
          <w:b/>
          <w:bCs/>
          <w:i/>
          <w:iCs/>
          <w:u w:val="single"/>
        </w:rPr>
        <w:t>insert here</w:t>
      </w:r>
      <w:r w:rsidRPr="3AEB2994">
        <w:rPr>
          <w:i/>
          <w:iCs/>
        </w:rPr>
        <w:t>;</w:t>
      </w:r>
      <w:r w:rsidRPr="3AEB2994">
        <w:t xml:space="preserve"> or at the following address: </w:t>
      </w:r>
      <w:r w:rsidRPr="3AEB2994">
        <w:rPr>
          <w:b/>
          <w:bCs/>
          <w:i/>
          <w:iCs/>
          <w:u w:val="single"/>
        </w:rPr>
        <w:t>insert here</w:t>
      </w:r>
      <w:r w:rsidRPr="3AEB2994">
        <w:t>.</w:t>
      </w:r>
    </w:p>
    <w:p w14:paraId="14EAC11B" w14:textId="77777777" w:rsidR="0055691A" w:rsidRDefault="0055691A" w:rsidP="00814BA9">
      <w:pPr>
        <w:pStyle w:val="ListParagraph"/>
      </w:pPr>
      <w:r w:rsidRPr="3AEB2994">
        <w:t>The key responsibilities of the DPO are:</w:t>
      </w:r>
    </w:p>
    <w:p w14:paraId="0CFEDA7D" w14:textId="77777777" w:rsidR="0055691A" w:rsidRDefault="0055691A" w:rsidP="00814BA9">
      <w:pPr>
        <w:pStyle w:val="ListParagraph"/>
      </w:pPr>
      <w:r w:rsidRPr="3AEB2994">
        <w:t xml:space="preserve">Overseeing changes to systems and </w:t>
      </w:r>
      <w:proofErr w:type="gramStart"/>
      <w:r w:rsidRPr="3AEB2994">
        <w:t>processes;</w:t>
      </w:r>
      <w:proofErr w:type="gramEnd"/>
    </w:p>
    <w:p w14:paraId="2810B14C" w14:textId="77777777" w:rsidR="0055691A" w:rsidRDefault="0055691A" w:rsidP="00814BA9">
      <w:pPr>
        <w:pStyle w:val="ListParagraph"/>
      </w:pPr>
      <w:r w:rsidRPr="3AEB2994">
        <w:t xml:space="preserve">Monitoring compliance with the GDPR and the Data Protection Act </w:t>
      </w:r>
      <w:proofErr w:type="gramStart"/>
      <w:r w:rsidRPr="3AEB2994">
        <w:t>2018;</w:t>
      </w:r>
      <w:proofErr w:type="gramEnd"/>
    </w:p>
    <w:p w14:paraId="236E79D1" w14:textId="77777777" w:rsidR="0055691A" w:rsidRDefault="0055691A" w:rsidP="00814BA9">
      <w:pPr>
        <w:pStyle w:val="ListParagraph"/>
      </w:pPr>
      <w:r w:rsidRPr="3AEB2994">
        <w:t xml:space="preserve">Completing </w:t>
      </w:r>
      <w:proofErr w:type="gramStart"/>
      <w:r w:rsidRPr="3AEB2994">
        <w:t>DPIA;</w:t>
      </w:r>
      <w:proofErr w:type="gramEnd"/>
    </w:p>
    <w:p w14:paraId="60440C28" w14:textId="77777777" w:rsidR="0055691A" w:rsidRDefault="0055691A" w:rsidP="00814BA9">
      <w:pPr>
        <w:pStyle w:val="ListParagraph"/>
      </w:pPr>
      <w:r w:rsidRPr="3AEB2994">
        <w:t xml:space="preserve">Reporting on data protection and compliance with legislation to senior </w:t>
      </w:r>
      <w:proofErr w:type="gramStart"/>
      <w:r w:rsidRPr="3AEB2994">
        <w:t>management;</w:t>
      </w:r>
      <w:proofErr w:type="gramEnd"/>
    </w:p>
    <w:p w14:paraId="2D935471" w14:textId="77777777" w:rsidR="0055691A" w:rsidRDefault="0055691A" w:rsidP="00814BA9">
      <w:pPr>
        <w:pStyle w:val="ListParagraph"/>
      </w:pPr>
      <w:r w:rsidRPr="3AEB2994">
        <w:t>Liaising, if required, with the Information Commissioner’s Office (ICO).</w:t>
      </w:r>
    </w:p>
    <w:p w14:paraId="081B3AD6" w14:textId="77777777" w:rsidR="0055691A" w:rsidRDefault="0055691A" w:rsidP="00CC7E12">
      <w:pPr>
        <w:pStyle w:val="Heading1"/>
      </w:pPr>
      <w:r w:rsidRPr="3AEB2994">
        <w:lastRenderedPageBreak/>
        <w:t>Approval</w:t>
      </w:r>
    </w:p>
    <w:p w14:paraId="17ACD7AC" w14:textId="77777777" w:rsidR="0055691A" w:rsidRDefault="0055691A" w:rsidP="00814BA9">
      <w:pPr>
        <w:pStyle w:val="ListParagraph"/>
      </w:pPr>
      <w:r w:rsidRPr="3AEB2994">
        <w:t xml:space="preserve">This policy has been approved by the undersigned and will be reviewed at least annually. </w:t>
      </w:r>
    </w:p>
    <w:tbl>
      <w:tblPr>
        <w:tblStyle w:val="TableGrid"/>
        <w:tblpPr w:leftFromText="180" w:rightFromText="180" w:vertAnchor="text" w:horzAnchor="margin" w:tblpXSpec="center" w:tblpY="29"/>
        <w:tblW w:w="0" w:type="auto"/>
        <w:tblLook w:val="04A0" w:firstRow="1" w:lastRow="0" w:firstColumn="1" w:lastColumn="0" w:noHBand="0" w:noVBand="1"/>
      </w:tblPr>
      <w:tblGrid>
        <w:gridCol w:w="2376"/>
        <w:gridCol w:w="5786"/>
      </w:tblGrid>
      <w:tr w:rsidR="0055691A" w:rsidRPr="00AF7C78" w14:paraId="6BA310E8" w14:textId="77777777" w:rsidTr="00171BAB">
        <w:tc>
          <w:tcPr>
            <w:tcW w:w="2376" w:type="dxa"/>
          </w:tcPr>
          <w:p w14:paraId="5CDA903D" w14:textId="77777777" w:rsidR="0055691A" w:rsidRPr="00AF7C78" w:rsidRDefault="0055691A" w:rsidP="00171BAB">
            <w:pPr>
              <w:rPr>
                <w:rFonts w:eastAsia="Calibri" w:cs="Calibri"/>
              </w:rPr>
            </w:pPr>
            <w:r w:rsidRPr="3AEB2994">
              <w:rPr>
                <w:rFonts w:eastAsia="Calibri" w:cs="Calibri"/>
              </w:rPr>
              <w:t>Name</w:t>
            </w:r>
          </w:p>
        </w:tc>
        <w:tc>
          <w:tcPr>
            <w:tcW w:w="5786" w:type="dxa"/>
          </w:tcPr>
          <w:p w14:paraId="47DC5B30" w14:textId="77777777" w:rsidR="0055691A" w:rsidRPr="00AF7C78" w:rsidRDefault="0055691A" w:rsidP="00171BAB">
            <w:pPr>
              <w:rPr>
                <w:rFonts w:eastAsia="Calibri" w:cs="Calibri"/>
              </w:rPr>
            </w:pPr>
          </w:p>
        </w:tc>
      </w:tr>
      <w:tr w:rsidR="0055691A" w:rsidRPr="00AF7C78" w14:paraId="3D28ED83" w14:textId="77777777" w:rsidTr="00171BAB">
        <w:tc>
          <w:tcPr>
            <w:tcW w:w="2376" w:type="dxa"/>
          </w:tcPr>
          <w:p w14:paraId="69CC97A1" w14:textId="77777777" w:rsidR="0055691A" w:rsidRPr="00AF7C78" w:rsidRDefault="0055691A" w:rsidP="00171BAB">
            <w:pPr>
              <w:rPr>
                <w:rFonts w:eastAsia="Calibri" w:cs="Calibri"/>
              </w:rPr>
            </w:pPr>
            <w:r w:rsidRPr="3AEB2994">
              <w:rPr>
                <w:rFonts w:eastAsia="Calibri" w:cs="Calibri"/>
              </w:rPr>
              <w:t>Signature</w:t>
            </w:r>
          </w:p>
        </w:tc>
        <w:tc>
          <w:tcPr>
            <w:tcW w:w="5786" w:type="dxa"/>
          </w:tcPr>
          <w:p w14:paraId="68E1E55C" w14:textId="77777777" w:rsidR="0055691A" w:rsidRPr="00AF7C78" w:rsidRDefault="0055691A" w:rsidP="00171BAB">
            <w:pPr>
              <w:rPr>
                <w:rFonts w:eastAsia="Calibri" w:cs="Calibri"/>
              </w:rPr>
            </w:pPr>
          </w:p>
        </w:tc>
      </w:tr>
      <w:tr w:rsidR="0055691A" w:rsidRPr="00AF7C78" w14:paraId="5C7C4D3D" w14:textId="77777777" w:rsidTr="00171BAB">
        <w:tc>
          <w:tcPr>
            <w:tcW w:w="2376" w:type="dxa"/>
          </w:tcPr>
          <w:p w14:paraId="662C946D" w14:textId="77777777" w:rsidR="0055691A" w:rsidRPr="00AF7C78" w:rsidRDefault="0055691A" w:rsidP="00171BAB">
            <w:pPr>
              <w:rPr>
                <w:rFonts w:eastAsia="Calibri" w:cs="Calibri"/>
              </w:rPr>
            </w:pPr>
            <w:r w:rsidRPr="3AEB2994">
              <w:rPr>
                <w:rFonts w:eastAsia="Calibri" w:cs="Calibri"/>
              </w:rPr>
              <w:t>Approval Date</w:t>
            </w:r>
          </w:p>
        </w:tc>
        <w:tc>
          <w:tcPr>
            <w:tcW w:w="5786" w:type="dxa"/>
          </w:tcPr>
          <w:p w14:paraId="574711A2" w14:textId="77777777" w:rsidR="0055691A" w:rsidRPr="00AF7C78" w:rsidRDefault="0055691A" w:rsidP="00171BAB">
            <w:pPr>
              <w:rPr>
                <w:rFonts w:eastAsia="Calibri" w:cs="Calibri"/>
              </w:rPr>
            </w:pPr>
          </w:p>
        </w:tc>
      </w:tr>
      <w:tr w:rsidR="0055691A" w:rsidRPr="00AF7C78" w14:paraId="026626D8" w14:textId="77777777" w:rsidTr="00171BAB">
        <w:tc>
          <w:tcPr>
            <w:tcW w:w="2376" w:type="dxa"/>
          </w:tcPr>
          <w:p w14:paraId="27AC11C0" w14:textId="77777777" w:rsidR="0055691A" w:rsidRPr="00AF7C78" w:rsidRDefault="0055691A" w:rsidP="00171BAB">
            <w:pPr>
              <w:rPr>
                <w:rFonts w:eastAsia="Calibri" w:cs="Calibri"/>
              </w:rPr>
            </w:pPr>
            <w:r w:rsidRPr="3AEB2994">
              <w:rPr>
                <w:rFonts w:eastAsia="Calibri" w:cs="Calibri"/>
              </w:rPr>
              <w:t>Review Date</w:t>
            </w:r>
          </w:p>
        </w:tc>
        <w:tc>
          <w:tcPr>
            <w:tcW w:w="5786" w:type="dxa"/>
          </w:tcPr>
          <w:p w14:paraId="0F31BE81" w14:textId="77777777" w:rsidR="0055691A" w:rsidRPr="00AF7C78" w:rsidRDefault="0055691A" w:rsidP="00171BAB">
            <w:pPr>
              <w:rPr>
                <w:rFonts w:eastAsia="Calibri" w:cs="Calibri"/>
              </w:rPr>
            </w:pPr>
          </w:p>
        </w:tc>
      </w:tr>
    </w:tbl>
    <w:p w14:paraId="23ECE6FD" w14:textId="77777777" w:rsidR="0055691A" w:rsidRPr="00361F98" w:rsidRDefault="0055691A" w:rsidP="0055691A">
      <w:pPr>
        <w:ind w:left="1070"/>
        <w:rPr>
          <w:rFonts w:eastAsia="Calibri" w:cs="Calibri"/>
        </w:rPr>
      </w:pPr>
    </w:p>
    <w:p w14:paraId="50A4309C" w14:textId="77777777" w:rsidR="0055691A" w:rsidRPr="0055691A" w:rsidRDefault="0055691A" w:rsidP="0055691A"/>
    <w:sectPr w:rsidR="0055691A" w:rsidRPr="0055691A" w:rsidSect="000254EA">
      <w:footerReference w:type="default" r:id="rId17"/>
      <w:footerReference w:type="first" r:id="rId18"/>
      <w:pgSz w:w="11906" w:h="16838" w:code="9"/>
      <w:pgMar w:top="1440" w:right="1440" w:bottom="1440" w:left="144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F9121" w14:textId="77777777" w:rsidR="00B0510F" w:rsidRDefault="00B0510F" w:rsidP="001C6919">
      <w:pPr>
        <w:spacing w:after="0" w:line="240" w:lineRule="auto"/>
      </w:pPr>
      <w:r>
        <w:separator/>
      </w:r>
    </w:p>
  </w:endnote>
  <w:endnote w:type="continuationSeparator" w:id="0">
    <w:p w14:paraId="5AD9F3B7" w14:textId="77777777" w:rsidR="00B0510F" w:rsidRDefault="00B0510F" w:rsidP="001C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libri"/>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08CF" w14:textId="3D286D8A" w:rsidR="001C6919" w:rsidRPr="001C6919" w:rsidRDefault="00E95341" w:rsidP="00710F5E">
    <w:pPr>
      <w:pStyle w:val="Footer"/>
      <w:jc w:val="center"/>
      <w:rPr>
        <w:rFonts w:ascii="Muli" w:hAnsi="Muli"/>
      </w:rPr>
    </w:pPr>
    <w:r w:rsidRPr="00E95341">
      <w:rPr>
        <w:rFonts w:ascii="Muli" w:hAnsi="Muli"/>
      </w:rPr>
      <w:ptab w:relativeTo="margin" w:alignment="center" w:leader="none"/>
    </w:r>
    <w:hyperlink r:id="rId1" w:history="1">
      <w:r w:rsidRPr="00B75FC5">
        <w:rPr>
          <w:rStyle w:val="Hyperlink"/>
          <w:rFonts w:ascii="Muli" w:hAnsi="Muli"/>
        </w:rPr>
        <w:t>www.digitalcarehub.co.uk</w:t>
      </w:r>
    </w:hyperlink>
    <w:r>
      <w:rPr>
        <w:rFonts w:ascii="Muli" w:hAnsi="Muli"/>
      </w:rPr>
      <w:t xml:space="preserve"> </w:t>
    </w:r>
    <w:r w:rsidRPr="00E95341">
      <w:rPr>
        <w:rFonts w:ascii="Muli" w:hAnsi="Muli"/>
      </w:rPr>
      <w:ptab w:relativeTo="margin" w:alignment="right" w:leader="none"/>
    </w:r>
    <w:r w:rsidR="00CF103E" w:rsidRPr="00CF103E">
      <w:rPr>
        <w:rFonts w:ascii="Muli" w:hAnsi="Muli"/>
      </w:rPr>
      <w:fldChar w:fldCharType="begin"/>
    </w:r>
    <w:r w:rsidR="00CF103E" w:rsidRPr="00CF103E">
      <w:rPr>
        <w:rFonts w:ascii="Muli" w:hAnsi="Muli"/>
      </w:rPr>
      <w:instrText>PAGE   \* MERGEFORMAT</w:instrText>
    </w:r>
    <w:r w:rsidR="00CF103E" w:rsidRPr="00CF103E">
      <w:rPr>
        <w:rFonts w:ascii="Muli" w:hAnsi="Muli"/>
      </w:rPr>
      <w:fldChar w:fldCharType="separate"/>
    </w:r>
    <w:r w:rsidR="00CF103E" w:rsidRPr="00CF103E">
      <w:rPr>
        <w:rFonts w:ascii="Muli" w:hAnsi="Muli"/>
      </w:rPr>
      <w:t>1</w:t>
    </w:r>
    <w:r w:rsidR="00CF103E" w:rsidRPr="00CF103E">
      <w:rPr>
        <w:rFonts w:ascii="Muli" w:hAnsi="Mul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418949"/>
      <w:docPartObj>
        <w:docPartGallery w:val="Page Numbers (Bottom of Page)"/>
        <w:docPartUnique/>
      </w:docPartObj>
    </w:sdtPr>
    <w:sdtContent>
      <w:p w14:paraId="01D709C1" w14:textId="1C2C3213" w:rsidR="00D230BD" w:rsidRDefault="00D230BD">
        <w:pPr>
          <w:pStyle w:val="Footer"/>
          <w:jc w:val="right"/>
        </w:pPr>
        <w:r>
          <w:fldChar w:fldCharType="begin"/>
        </w:r>
        <w:r>
          <w:instrText>PAGE   \* MERGEFORMAT</w:instrText>
        </w:r>
        <w:r>
          <w:fldChar w:fldCharType="separate"/>
        </w:r>
        <w:r>
          <w:t>2</w:t>
        </w:r>
        <w:r>
          <w:fldChar w:fldCharType="end"/>
        </w:r>
      </w:p>
    </w:sdtContent>
  </w:sdt>
  <w:p w14:paraId="5AAC84D9" w14:textId="77777777" w:rsidR="00356A6F" w:rsidRDefault="00356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AAA8C" w14:textId="77777777" w:rsidR="00B0510F" w:rsidRDefault="00B0510F" w:rsidP="001C6919">
      <w:pPr>
        <w:spacing w:after="0" w:line="240" w:lineRule="auto"/>
      </w:pPr>
      <w:r>
        <w:separator/>
      </w:r>
    </w:p>
  </w:footnote>
  <w:footnote w:type="continuationSeparator" w:id="0">
    <w:p w14:paraId="19520276" w14:textId="77777777" w:rsidR="00B0510F" w:rsidRDefault="00B0510F" w:rsidP="001C6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2CF"/>
    <w:multiLevelType w:val="multilevel"/>
    <w:tmpl w:val="E414912E"/>
    <w:lvl w:ilvl="0">
      <w:start w:val="1"/>
      <w:numFmt w:val="decimal"/>
      <w:pStyle w:val="Heading2"/>
      <w:lvlText w:val="%1."/>
      <w:lvlJc w:val="left"/>
      <w:pPr>
        <w:ind w:left="72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D43687C"/>
    <w:multiLevelType w:val="hybridMultilevel"/>
    <w:tmpl w:val="5222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079A7"/>
    <w:multiLevelType w:val="hybridMultilevel"/>
    <w:tmpl w:val="AD06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D6EF9"/>
    <w:multiLevelType w:val="hybridMultilevel"/>
    <w:tmpl w:val="0A2EF1C6"/>
    <w:lvl w:ilvl="0" w:tplc="CC4AF238">
      <w:start w:val="1"/>
      <w:numFmt w:val="bullet"/>
      <w:pStyle w:val="Bulletpoint"/>
      <w:lvlText w:val=""/>
      <w:lvlJc w:val="left"/>
      <w:pPr>
        <w:ind w:left="720" w:hanging="360"/>
      </w:pPr>
      <w:rPr>
        <w:rFonts w:ascii="Symbol" w:hAnsi="Symbol" w:hint="default"/>
        <w:color w:val="A1368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BB77B14"/>
    <w:multiLevelType w:val="hybridMultilevel"/>
    <w:tmpl w:val="DCF8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B54E2D"/>
    <w:multiLevelType w:val="multilevel"/>
    <w:tmpl w:val="E9786246"/>
    <w:lvl w:ilvl="0">
      <w:start w:val="1"/>
      <w:numFmt w:val="decimal"/>
      <w:pStyle w:val="Heading1"/>
      <w:lvlText w:val="%1."/>
      <w:lvlJc w:val="left"/>
      <w:pPr>
        <w:ind w:left="720" w:hanging="360"/>
      </w:pPr>
    </w:lvl>
    <w:lvl w:ilvl="1">
      <w:start w:val="1"/>
      <w:numFmt w:val="decimal"/>
      <w:pStyle w:val="ListParagraph"/>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DD30F5E"/>
    <w:multiLevelType w:val="hybridMultilevel"/>
    <w:tmpl w:val="8AF0A1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1967EB"/>
    <w:multiLevelType w:val="hybridMultilevel"/>
    <w:tmpl w:val="AF84DF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707D19"/>
    <w:multiLevelType w:val="hybridMultilevel"/>
    <w:tmpl w:val="F7225862"/>
    <w:lvl w:ilvl="0" w:tplc="07940C2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283756">
    <w:abstractNumId w:val="1"/>
  </w:num>
  <w:num w:numId="2" w16cid:durableId="325594906">
    <w:abstractNumId w:val="4"/>
  </w:num>
  <w:num w:numId="3" w16cid:durableId="617108548">
    <w:abstractNumId w:val="2"/>
  </w:num>
  <w:num w:numId="4" w16cid:durableId="269434707">
    <w:abstractNumId w:val="7"/>
  </w:num>
  <w:num w:numId="5" w16cid:durableId="908343542">
    <w:abstractNumId w:val="8"/>
  </w:num>
  <w:num w:numId="6" w16cid:durableId="535772624">
    <w:abstractNumId w:val="3"/>
  </w:num>
  <w:num w:numId="7" w16cid:durableId="67771645">
    <w:abstractNumId w:val="6"/>
  </w:num>
  <w:num w:numId="8" w16cid:durableId="1454908234">
    <w:abstractNumId w:val="0"/>
  </w:num>
  <w:num w:numId="9" w16cid:durableId="1258831564">
    <w:abstractNumId w:val="5"/>
  </w:num>
  <w:num w:numId="10" w16cid:durableId="1004016907">
    <w:abstractNumId w:val="5"/>
    <w:lvlOverride w:ilvl="0">
      <w:startOverride w:val="2"/>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19"/>
    <w:rsid w:val="000039BC"/>
    <w:rsid w:val="00020A5E"/>
    <w:rsid w:val="000254EA"/>
    <w:rsid w:val="000358BA"/>
    <w:rsid w:val="00042023"/>
    <w:rsid w:val="00053581"/>
    <w:rsid w:val="00092329"/>
    <w:rsid w:val="000B356C"/>
    <w:rsid w:val="000B45C8"/>
    <w:rsid w:val="000E04FD"/>
    <w:rsid w:val="00126B83"/>
    <w:rsid w:val="00143949"/>
    <w:rsid w:val="0015053A"/>
    <w:rsid w:val="001B55C7"/>
    <w:rsid w:val="001C6919"/>
    <w:rsid w:val="00235AF7"/>
    <w:rsid w:val="00246E2E"/>
    <w:rsid w:val="002503E9"/>
    <w:rsid w:val="00265BDA"/>
    <w:rsid w:val="002713CE"/>
    <w:rsid w:val="002C432B"/>
    <w:rsid w:val="002C70F7"/>
    <w:rsid w:val="002E6129"/>
    <w:rsid w:val="002E6DCE"/>
    <w:rsid w:val="002F2EB7"/>
    <w:rsid w:val="00327220"/>
    <w:rsid w:val="003370F1"/>
    <w:rsid w:val="00356A6F"/>
    <w:rsid w:val="003A08A2"/>
    <w:rsid w:val="003C3323"/>
    <w:rsid w:val="003C6D98"/>
    <w:rsid w:val="004002A3"/>
    <w:rsid w:val="00497DFE"/>
    <w:rsid w:val="004A7B80"/>
    <w:rsid w:val="004C4822"/>
    <w:rsid w:val="00511F68"/>
    <w:rsid w:val="00512082"/>
    <w:rsid w:val="0055691A"/>
    <w:rsid w:val="005713A1"/>
    <w:rsid w:val="006570B6"/>
    <w:rsid w:val="00671A35"/>
    <w:rsid w:val="006804CC"/>
    <w:rsid w:val="006D4237"/>
    <w:rsid w:val="00701EDA"/>
    <w:rsid w:val="00702CC3"/>
    <w:rsid w:val="007106D9"/>
    <w:rsid w:val="00710F5E"/>
    <w:rsid w:val="00777746"/>
    <w:rsid w:val="00781882"/>
    <w:rsid w:val="00784BFE"/>
    <w:rsid w:val="007D762D"/>
    <w:rsid w:val="007F2370"/>
    <w:rsid w:val="00813B68"/>
    <w:rsid w:val="008144DF"/>
    <w:rsid w:val="00814BA9"/>
    <w:rsid w:val="00847BEF"/>
    <w:rsid w:val="0087004C"/>
    <w:rsid w:val="0089233F"/>
    <w:rsid w:val="008A7601"/>
    <w:rsid w:val="008E4DCB"/>
    <w:rsid w:val="00915157"/>
    <w:rsid w:val="00923AE2"/>
    <w:rsid w:val="00925316"/>
    <w:rsid w:val="00934BE1"/>
    <w:rsid w:val="0094190C"/>
    <w:rsid w:val="00952A14"/>
    <w:rsid w:val="00956B4B"/>
    <w:rsid w:val="009719E0"/>
    <w:rsid w:val="009A3911"/>
    <w:rsid w:val="009C2C62"/>
    <w:rsid w:val="009C4366"/>
    <w:rsid w:val="009C444B"/>
    <w:rsid w:val="00A03456"/>
    <w:rsid w:val="00A22687"/>
    <w:rsid w:val="00A601F8"/>
    <w:rsid w:val="00A627D2"/>
    <w:rsid w:val="00AA3D34"/>
    <w:rsid w:val="00AB6736"/>
    <w:rsid w:val="00AD19EB"/>
    <w:rsid w:val="00AD4E27"/>
    <w:rsid w:val="00B04AC5"/>
    <w:rsid w:val="00B0510F"/>
    <w:rsid w:val="00B26D99"/>
    <w:rsid w:val="00B30196"/>
    <w:rsid w:val="00B85BAD"/>
    <w:rsid w:val="00B9683B"/>
    <w:rsid w:val="00BB5A31"/>
    <w:rsid w:val="00BB65B2"/>
    <w:rsid w:val="00C257CC"/>
    <w:rsid w:val="00CC7E12"/>
    <w:rsid w:val="00CF103E"/>
    <w:rsid w:val="00D230BD"/>
    <w:rsid w:val="00D325AF"/>
    <w:rsid w:val="00D32B5C"/>
    <w:rsid w:val="00D55EA9"/>
    <w:rsid w:val="00D70FC0"/>
    <w:rsid w:val="00DB1764"/>
    <w:rsid w:val="00DE5A27"/>
    <w:rsid w:val="00E0379D"/>
    <w:rsid w:val="00E226D1"/>
    <w:rsid w:val="00E63091"/>
    <w:rsid w:val="00E95341"/>
    <w:rsid w:val="00EB64E0"/>
    <w:rsid w:val="00EE6AB7"/>
    <w:rsid w:val="00F0206A"/>
    <w:rsid w:val="00F40AB0"/>
    <w:rsid w:val="00FA0CDA"/>
    <w:rsid w:val="00FB2B24"/>
    <w:rsid w:val="46FC0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DCE"/>
    <w:pPr>
      <w:spacing w:line="360" w:lineRule="auto"/>
    </w:pPr>
    <w:rPr>
      <w:rFonts w:ascii="Calibri" w:hAnsi="Calibri"/>
      <w:sz w:val="24"/>
    </w:rPr>
  </w:style>
  <w:style w:type="paragraph" w:styleId="Heading1">
    <w:name w:val="heading 1"/>
    <w:basedOn w:val="Normal"/>
    <w:next w:val="Normal"/>
    <w:link w:val="Heading1Char"/>
    <w:autoRedefine/>
    <w:uiPriority w:val="9"/>
    <w:qFormat/>
    <w:rsid w:val="004C4822"/>
    <w:pPr>
      <w:keepNext/>
      <w:keepLines/>
      <w:numPr>
        <w:numId w:val="9"/>
      </w:numPr>
      <w:spacing w:before="480" w:after="0"/>
      <w:ind w:left="357" w:hanging="357"/>
      <w:outlineLvl w:val="0"/>
    </w:pPr>
    <w:rPr>
      <w:rFonts w:eastAsiaTheme="majorEastAsia" w:cstheme="majorBidi"/>
      <w:b/>
      <w:bCs/>
      <w:color w:val="513089" w:themeColor="accent1"/>
      <w:sz w:val="36"/>
      <w:szCs w:val="28"/>
    </w:rPr>
  </w:style>
  <w:style w:type="paragraph" w:styleId="Heading2">
    <w:name w:val="heading 2"/>
    <w:basedOn w:val="Normal"/>
    <w:next w:val="Normal"/>
    <w:link w:val="Heading2Char"/>
    <w:autoRedefine/>
    <w:uiPriority w:val="9"/>
    <w:unhideWhenUsed/>
    <w:qFormat/>
    <w:rsid w:val="00DE5A27"/>
    <w:pPr>
      <w:keepNext/>
      <w:keepLines/>
      <w:numPr>
        <w:numId w:val="8"/>
      </w:numPr>
      <w:tabs>
        <w:tab w:val="num" w:pos="360"/>
      </w:tabs>
      <w:spacing w:before="40" w:after="0"/>
      <w:ind w:left="0" w:firstLine="0"/>
      <w:outlineLvl w:val="1"/>
    </w:pPr>
    <w:rPr>
      <w:rFonts w:eastAsia="Calibri" w:cs="Calibri"/>
      <w:b/>
      <w:bCs/>
      <w:color w:val="513089" w:themeColor="accent1"/>
      <w:sz w:val="28"/>
      <w:szCs w:val="26"/>
    </w:rPr>
  </w:style>
  <w:style w:type="paragraph" w:styleId="Heading3">
    <w:name w:val="heading 3"/>
    <w:basedOn w:val="Normal"/>
    <w:next w:val="Normal"/>
    <w:link w:val="Heading3Char"/>
    <w:autoRedefine/>
    <w:uiPriority w:val="9"/>
    <w:unhideWhenUsed/>
    <w:qFormat/>
    <w:rsid w:val="00A03456"/>
    <w:pPr>
      <w:keepNext/>
      <w:keepLines/>
      <w:spacing w:before="40" w:after="0"/>
      <w:outlineLvl w:val="2"/>
    </w:pPr>
    <w:rPr>
      <w:rFonts w:eastAsiaTheme="majorEastAsia" w:cstheme="majorBidi"/>
      <w:b/>
      <w:color w:val="513089" w:themeColor="accent1"/>
      <w:szCs w:val="24"/>
    </w:rPr>
  </w:style>
  <w:style w:type="paragraph" w:styleId="Heading4">
    <w:name w:val="heading 4"/>
    <w:basedOn w:val="Normal"/>
    <w:next w:val="Normal"/>
    <w:link w:val="Heading4Char"/>
    <w:autoRedefine/>
    <w:uiPriority w:val="9"/>
    <w:unhideWhenUsed/>
    <w:qFormat/>
    <w:rsid w:val="00B30196"/>
    <w:pPr>
      <w:keepNext/>
      <w:keepLines/>
      <w:spacing w:before="40" w:after="0"/>
      <w:outlineLvl w:val="3"/>
    </w:pPr>
    <w:rPr>
      <w:rFonts w:eastAsiaTheme="majorEastAsia" w:cstheme="majorBidi"/>
      <w:i/>
      <w:iCs/>
      <w:color w:val="51308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919"/>
  </w:style>
  <w:style w:type="paragraph" w:styleId="Footer">
    <w:name w:val="footer"/>
    <w:basedOn w:val="Normal"/>
    <w:link w:val="FooterChar"/>
    <w:uiPriority w:val="99"/>
    <w:unhideWhenUsed/>
    <w:rsid w:val="001C6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919"/>
  </w:style>
  <w:style w:type="paragraph" w:styleId="BalloonText">
    <w:name w:val="Balloon Text"/>
    <w:basedOn w:val="Normal"/>
    <w:link w:val="BalloonTextChar"/>
    <w:uiPriority w:val="99"/>
    <w:semiHidden/>
    <w:unhideWhenUsed/>
    <w:rsid w:val="001C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919"/>
    <w:rPr>
      <w:rFonts w:ascii="Tahoma" w:hAnsi="Tahoma" w:cs="Tahoma"/>
      <w:sz w:val="16"/>
      <w:szCs w:val="16"/>
    </w:rPr>
  </w:style>
  <w:style w:type="paragraph" w:styleId="NoSpacing">
    <w:name w:val="No Spacing"/>
    <w:basedOn w:val="Normal"/>
    <w:uiPriority w:val="1"/>
    <w:rsid w:val="001C6919"/>
    <w:pPr>
      <w:spacing w:after="0" w:line="240" w:lineRule="auto"/>
    </w:pPr>
    <w:rPr>
      <w:rFonts w:cs="Times New Roman"/>
      <w:color w:val="292858" w:themeColor="text1"/>
      <w:szCs w:val="20"/>
      <w:lang w:val="en-US" w:eastAsia="ja-JP"/>
    </w:rPr>
  </w:style>
  <w:style w:type="character" w:customStyle="1" w:styleId="Heading1Char">
    <w:name w:val="Heading 1 Char"/>
    <w:basedOn w:val="DefaultParagraphFont"/>
    <w:link w:val="Heading1"/>
    <w:uiPriority w:val="9"/>
    <w:rsid w:val="004C4822"/>
    <w:rPr>
      <w:rFonts w:ascii="Calibri" w:eastAsiaTheme="majorEastAsia" w:hAnsi="Calibri" w:cstheme="majorBidi"/>
      <w:b/>
      <w:bCs/>
      <w:color w:val="513089" w:themeColor="accent1"/>
      <w:sz w:val="36"/>
      <w:szCs w:val="28"/>
    </w:rPr>
  </w:style>
  <w:style w:type="character" w:styleId="Hyperlink">
    <w:name w:val="Hyperlink"/>
    <w:basedOn w:val="DefaultParagraphFont"/>
    <w:uiPriority w:val="99"/>
    <w:unhideWhenUsed/>
    <w:qFormat/>
    <w:rsid w:val="00AD19EB"/>
    <w:rPr>
      <w:color w:val="A1368D" w:themeColor="accent2"/>
      <w:u w:val="single"/>
    </w:rPr>
  </w:style>
  <w:style w:type="paragraph" w:styleId="ListParagraph">
    <w:name w:val="List Paragraph"/>
    <w:basedOn w:val="Normal"/>
    <w:link w:val="ListParagraphChar"/>
    <w:autoRedefine/>
    <w:uiPriority w:val="1"/>
    <w:qFormat/>
    <w:rsid w:val="00814BA9"/>
    <w:pPr>
      <w:numPr>
        <w:ilvl w:val="1"/>
        <w:numId w:val="9"/>
      </w:numPr>
      <w:spacing w:after="160"/>
      <w:ind w:left="720"/>
      <w:contextualSpacing/>
    </w:pPr>
    <w:rPr>
      <w:rFonts w:eastAsia="Calibri" w:cs="Calibri"/>
    </w:rPr>
  </w:style>
  <w:style w:type="character" w:customStyle="1" w:styleId="Heading2Char">
    <w:name w:val="Heading 2 Char"/>
    <w:basedOn w:val="DefaultParagraphFont"/>
    <w:link w:val="Heading2"/>
    <w:uiPriority w:val="9"/>
    <w:rsid w:val="00DE5A27"/>
    <w:rPr>
      <w:rFonts w:ascii="Calibri" w:eastAsia="Calibri" w:hAnsi="Calibri" w:cs="Calibri"/>
      <w:b/>
      <w:bCs/>
      <w:color w:val="513089" w:themeColor="accent1"/>
      <w:sz w:val="28"/>
      <w:szCs w:val="26"/>
    </w:rPr>
  </w:style>
  <w:style w:type="character" w:styleId="UnresolvedMention">
    <w:name w:val="Unresolved Mention"/>
    <w:basedOn w:val="DefaultParagraphFont"/>
    <w:uiPriority w:val="99"/>
    <w:semiHidden/>
    <w:unhideWhenUsed/>
    <w:rsid w:val="00FA0CDA"/>
    <w:rPr>
      <w:color w:val="605E5C"/>
      <w:shd w:val="clear" w:color="auto" w:fill="E1DFDD"/>
    </w:rPr>
  </w:style>
  <w:style w:type="table" w:styleId="TableGrid">
    <w:name w:val="Table Grid"/>
    <w:basedOn w:val="TableNormal"/>
    <w:uiPriority w:val="39"/>
    <w:rsid w:val="00FA0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7F2370"/>
    <w:pPr>
      <w:spacing w:before="360" w:after="0" w:line="240" w:lineRule="auto"/>
      <w:contextualSpacing/>
    </w:pPr>
    <w:rPr>
      <w:rFonts w:eastAsiaTheme="majorEastAsia" w:cstheme="majorBidi"/>
      <w:color w:val="513089" w:themeColor="accent1"/>
      <w:spacing w:val="-10"/>
      <w:kern w:val="28"/>
      <w:sz w:val="56"/>
      <w:szCs w:val="56"/>
    </w:rPr>
  </w:style>
  <w:style w:type="character" w:customStyle="1" w:styleId="TitleChar">
    <w:name w:val="Title Char"/>
    <w:basedOn w:val="DefaultParagraphFont"/>
    <w:link w:val="Title"/>
    <w:uiPriority w:val="10"/>
    <w:rsid w:val="007F2370"/>
    <w:rPr>
      <w:rFonts w:ascii="Calibri" w:eastAsiaTheme="majorEastAsia" w:hAnsi="Calibri" w:cstheme="majorBidi"/>
      <w:color w:val="513089" w:themeColor="accent1"/>
      <w:spacing w:val="-10"/>
      <w:kern w:val="28"/>
      <w:sz w:val="56"/>
      <w:szCs w:val="56"/>
    </w:rPr>
  </w:style>
  <w:style w:type="paragraph" w:styleId="Subtitle">
    <w:name w:val="Subtitle"/>
    <w:basedOn w:val="Normal"/>
    <w:next w:val="Normal"/>
    <w:link w:val="SubtitleChar"/>
    <w:autoRedefine/>
    <w:uiPriority w:val="11"/>
    <w:qFormat/>
    <w:rsid w:val="00A627D2"/>
    <w:pPr>
      <w:numPr>
        <w:ilvl w:val="1"/>
      </w:numPr>
      <w:spacing w:before="120" w:after="0" w:line="240" w:lineRule="auto"/>
    </w:pPr>
    <w:rPr>
      <w:rFonts w:eastAsiaTheme="minorEastAsia"/>
      <w:color w:val="A1368D" w:themeColor="accent2"/>
      <w:sz w:val="28"/>
    </w:rPr>
  </w:style>
  <w:style w:type="character" w:customStyle="1" w:styleId="SubtitleChar">
    <w:name w:val="Subtitle Char"/>
    <w:basedOn w:val="DefaultParagraphFont"/>
    <w:link w:val="Subtitle"/>
    <w:uiPriority w:val="11"/>
    <w:rsid w:val="00A627D2"/>
    <w:rPr>
      <w:rFonts w:ascii="Calibri" w:eastAsiaTheme="minorEastAsia" w:hAnsi="Calibri"/>
      <w:color w:val="A1368D" w:themeColor="accent2"/>
      <w:sz w:val="28"/>
    </w:rPr>
  </w:style>
  <w:style w:type="character" w:customStyle="1" w:styleId="Heading3Char">
    <w:name w:val="Heading 3 Char"/>
    <w:basedOn w:val="DefaultParagraphFont"/>
    <w:link w:val="Heading3"/>
    <w:uiPriority w:val="9"/>
    <w:rsid w:val="00A03456"/>
    <w:rPr>
      <w:rFonts w:ascii="Calibri" w:eastAsiaTheme="majorEastAsia" w:hAnsi="Calibri" w:cstheme="majorBidi"/>
      <w:b/>
      <w:color w:val="513089" w:themeColor="accent1"/>
      <w:sz w:val="24"/>
      <w:szCs w:val="24"/>
    </w:rPr>
  </w:style>
  <w:style w:type="character" w:customStyle="1" w:styleId="Heading4Char">
    <w:name w:val="Heading 4 Char"/>
    <w:basedOn w:val="DefaultParagraphFont"/>
    <w:link w:val="Heading4"/>
    <w:uiPriority w:val="9"/>
    <w:rsid w:val="00B30196"/>
    <w:rPr>
      <w:rFonts w:ascii="Calibri" w:eastAsiaTheme="majorEastAsia" w:hAnsi="Calibri" w:cstheme="majorBidi"/>
      <w:i/>
      <w:iCs/>
      <w:color w:val="513089" w:themeColor="accent1"/>
      <w:sz w:val="24"/>
    </w:rPr>
  </w:style>
  <w:style w:type="table" w:styleId="GridTable4-Accent2">
    <w:name w:val="Grid Table 4 Accent 2"/>
    <w:basedOn w:val="TableNormal"/>
    <w:uiPriority w:val="49"/>
    <w:rsid w:val="00A22687"/>
    <w:pPr>
      <w:spacing w:after="0" w:line="240" w:lineRule="auto"/>
    </w:pPr>
    <w:tblPr>
      <w:tblStyleRowBandSize w:val="1"/>
      <w:tblStyleColBandSize w:val="1"/>
      <w:tblBorders>
        <w:top w:val="single" w:sz="4" w:space="0" w:color="D27AC2" w:themeColor="accent2" w:themeTint="99"/>
        <w:left w:val="single" w:sz="4" w:space="0" w:color="D27AC2" w:themeColor="accent2" w:themeTint="99"/>
        <w:bottom w:val="single" w:sz="4" w:space="0" w:color="D27AC2" w:themeColor="accent2" w:themeTint="99"/>
        <w:right w:val="single" w:sz="4" w:space="0" w:color="D27AC2" w:themeColor="accent2" w:themeTint="99"/>
        <w:insideH w:val="single" w:sz="4" w:space="0" w:color="D27AC2" w:themeColor="accent2" w:themeTint="99"/>
        <w:insideV w:val="single" w:sz="4" w:space="0" w:color="D27AC2" w:themeColor="accent2" w:themeTint="99"/>
      </w:tblBorders>
    </w:tblPr>
    <w:tblStylePr w:type="firstRow">
      <w:rPr>
        <w:b/>
        <w:bCs/>
        <w:color w:val="FEFCFF" w:themeColor="background1"/>
      </w:rPr>
      <w:tblPr/>
      <w:tcPr>
        <w:tcBorders>
          <w:top w:val="single" w:sz="4" w:space="0" w:color="A1368D" w:themeColor="accent2"/>
          <w:left w:val="single" w:sz="4" w:space="0" w:color="A1368D" w:themeColor="accent2"/>
          <w:bottom w:val="single" w:sz="4" w:space="0" w:color="A1368D" w:themeColor="accent2"/>
          <w:right w:val="single" w:sz="4" w:space="0" w:color="A1368D" w:themeColor="accent2"/>
          <w:insideH w:val="nil"/>
          <w:insideV w:val="nil"/>
        </w:tcBorders>
        <w:shd w:val="clear" w:color="auto" w:fill="A1368D" w:themeFill="accent2"/>
      </w:tcPr>
    </w:tblStylePr>
    <w:tblStylePr w:type="lastRow">
      <w:rPr>
        <w:b/>
        <w:bCs/>
      </w:rPr>
      <w:tblPr/>
      <w:tcPr>
        <w:tcBorders>
          <w:top w:val="double" w:sz="4" w:space="0" w:color="A1368D" w:themeColor="accent2"/>
        </w:tcBorders>
      </w:tcPr>
    </w:tblStylePr>
    <w:tblStylePr w:type="firstCol">
      <w:rPr>
        <w:b/>
        <w:bCs/>
      </w:rPr>
    </w:tblStylePr>
    <w:tblStylePr w:type="lastCol">
      <w:rPr>
        <w:b/>
        <w:bCs/>
      </w:rPr>
    </w:tblStylePr>
    <w:tblStylePr w:type="band1Vert">
      <w:tblPr/>
      <w:tcPr>
        <w:shd w:val="clear" w:color="auto" w:fill="F0D2EA" w:themeFill="accent2" w:themeFillTint="33"/>
      </w:tcPr>
    </w:tblStylePr>
    <w:tblStylePr w:type="band1Horz">
      <w:tblPr/>
      <w:tcPr>
        <w:shd w:val="clear" w:color="auto" w:fill="F0D2EA" w:themeFill="accent2" w:themeFillTint="33"/>
      </w:tcPr>
    </w:tblStylePr>
  </w:style>
  <w:style w:type="paragraph" w:customStyle="1" w:styleId="Bulletpoint">
    <w:name w:val="Bullet point"/>
    <w:basedOn w:val="Normal"/>
    <w:qFormat/>
    <w:rsid w:val="00DB1764"/>
    <w:pPr>
      <w:numPr>
        <w:numId w:val="6"/>
      </w:numPr>
    </w:pPr>
  </w:style>
  <w:style w:type="paragraph" w:styleId="Quote">
    <w:name w:val="Quote"/>
    <w:aliases w:val="Citation"/>
    <w:basedOn w:val="Normal"/>
    <w:next w:val="Normal"/>
    <w:link w:val="QuoteChar"/>
    <w:autoRedefine/>
    <w:uiPriority w:val="29"/>
    <w:qFormat/>
    <w:rsid w:val="002503E9"/>
    <w:pPr>
      <w:spacing w:before="200" w:after="160"/>
      <w:ind w:left="862" w:right="862"/>
      <w:jc w:val="right"/>
    </w:pPr>
    <w:rPr>
      <w:iCs/>
      <w:color w:val="474699" w:themeColor="text1" w:themeTint="BF"/>
    </w:rPr>
  </w:style>
  <w:style w:type="character" w:customStyle="1" w:styleId="QuoteChar">
    <w:name w:val="Quote Char"/>
    <w:aliases w:val="Citation Char"/>
    <w:basedOn w:val="DefaultParagraphFont"/>
    <w:link w:val="Quote"/>
    <w:uiPriority w:val="29"/>
    <w:rsid w:val="002503E9"/>
    <w:rPr>
      <w:rFonts w:ascii="Calibri" w:hAnsi="Calibri"/>
      <w:iCs/>
      <w:color w:val="474699" w:themeColor="text1" w:themeTint="BF"/>
      <w:sz w:val="24"/>
    </w:rPr>
  </w:style>
  <w:style w:type="paragraph" w:customStyle="1" w:styleId="Quote1">
    <w:name w:val="Quote1"/>
    <w:basedOn w:val="Normal"/>
    <w:link w:val="Quote1Char"/>
    <w:qFormat/>
    <w:rsid w:val="00784BFE"/>
    <w:pPr>
      <w:ind w:left="720"/>
    </w:pPr>
    <w:rPr>
      <w:i/>
      <w:iCs/>
    </w:rPr>
  </w:style>
  <w:style w:type="character" w:customStyle="1" w:styleId="Quote1Char">
    <w:name w:val="Quote1 Char"/>
    <w:basedOn w:val="DefaultParagraphFont"/>
    <w:link w:val="Quote1"/>
    <w:rsid w:val="00784BFE"/>
    <w:rPr>
      <w:rFonts w:ascii="Calibri" w:hAnsi="Calibri"/>
      <w:i/>
      <w:iCs/>
      <w:sz w:val="24"/>
    </w:rPr>
  </w:style>
  <w:style w:type="character" w:customStyle="1" w:styleId="ListParagraphChar">
    <w:name w:val="List Paragraph Char"/>
    <w:link w:val="ListParagraph"/>
    <w:uiPriority w:val="1"/>
    <w:locked/>
    <w:rsid w:val="00814BA9"/>
    <w:rPr>
      <w:rFonts w:ascii="Calibri" w:eastAsia="Calibri"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5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sptoolkit.nhs.uk/OrganisationSearch"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gitalcarehub.co.uk/resource/data-security-and-protection-responsibilit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co.org.uk/for-organisations/guide-to-data-protection/guide-to-the-general-data-protection-regulation-gdpr/accountability-and-governance/data-protection-impact-assessm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co.org.uk/for-organisations/guide-to-the-general-data-protection-regulation-gdpr/accountability-and-governance/data-protection-by-design-and-defaul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sptoolkit.nhs.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igitalcarehub.co.uk" TargetMode="External"/></Relationships>
</file>

<file path=word/theme/theme1.xml><?xml version="1.0" encoding="utf-8"?>
<a:theme xmlns:a="http://schemas.openxmlformats.org/drawingml/2006/main" name="Office Theme">
  <a:themeElements>
    <a:clrScheme name="Digital Social Care">
      <a:dk1>
        <a:srgbClr val="292858"/>
      </a:dk1>
      <a:lt1>
        <a:srgbClr val="FEFCFF"/>
      </a:lt1>
      <a:dk2>
        <a:srgbClr val="282959"/>
      </a:dk2>
      <a:lt2>
        <a:srgbClr val="F1F0EC"/>
      </a:lt2>
      <a:accent1>
        <a:srgbClr val="513089"/>
      </a:accent1>
      <a:accent2>
        <a:srgbClr val="A1368D"/>
      </a:accent2>
      <a:accent3>
        <a:srgbClr val="D75E9E"/>
      </a:accent3>
      <a:accent4>
        <a:srgbClr val="FB4A3B"/>
      </a:accent4>
      <a:accent5>
        <a:srgbClr val="F0C310"/>
      </a:accent5>
      <a:accent6>
        <a:srgbClr val="F0C40E"/>
      </a:accent6>
      <a:hlink>
        <a:srgbClr val="E74A3B"/>
      </a:hlink>
      <a:folHlink>
        <a:srgbClr val="D95F9F"/>
      </a:folHlink>
    </a:clrScheme>
    <a:fontScheme name="Custom 1">
      <a:majorFont>
        <a:latin typeface="Muli"/>
        <a:ea typeface=""/>
        <a:cs typeface=""/>
      </a:majorFont>
      <a:minorFont>
        <a:latin typeface="Mul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4FC80BAFE1EB49BBD0A679F93B3131" ma:contentTypeVersion="17" ma:contentTypeDescription="Create a new document." ma:contentTypeScope="" ma:versionID="0bc0193630f726b2319b0b08db58df6b">
  <xsd:schema xmlns:xsd="http://www.w3.org/2001/XMLSchema" xmlns:xs="http://www.w3.org/2001/XMLSchema" xmlns:p="http://schemas.microsoft.com/office/2006/metadata/properties" xmlns:ns2="3937b2c0-dc68-4adf-b7ba-70810d8a24f4" xmlns:ns3="7c93f5d7-c97b-42ba-8c7f-be2647354d3b" targetNamespace="http://schemas.microsoft.com/office/2006/metadata/properties" ma:root="true" ma:fieldsID="7f159b0767f213a0aac731eb0b8bc326" ns2:_="" ns3:_="">
    <xsd:import namespace="3937b2c0-dc68-4adf-b7ba-70810d8a24f4"/>
    <xsd:import namespace="7c93f5d7-c97b-42ba-8c7f-be2647354d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7b2c0-dc68-4adf-b7ba-70810d8a2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7039779-561e-48cb-b729-bc702bba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93f5d7-c97b-42ba-8c7f-be2647354d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e5e137-dc17-4343-803c-5321537b8b18}" ma:internalName="TaxCatchAll" ma:showField="CatchAllData" ma:web="7c93f5d7-c97b-42ba-8c7f-be2647354d3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c93f5d7-c97b-42ba-8c7f-be2647354d3b" xsi:nil="true"/>
    <lcf76f155ced4ddcb4097134ff3c332f xmlns="3937b2c0-dc68-4adf-b7ba-70810d8a24f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7ABA9B-1A37-43BE-9477-55D34BD2F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7b2c0-dc68-4adf-b7ba-70810d8a24f4"/>
    <ds:schemaRef ds:uri="7c93f5d7-c97b-42ba-8c7f-be264735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4A72A-A61A-41DD-B659-449D09E76B58}">
  <ds:schemaRefs>
    <ds:schemaRef ds:uri="http://schemas.openxmlformats.org/officeDocument/2006/bibliography"/>
  </ds:schemaRefs>
</ds:datastoreItem>
</file>

<file path=customXml/itemProps3.xml><?xml version="1.0" encoding="utf-8"?>
<ds:datastoreItem xmlns:ds="http://schemas.openxmlformats.org/officeDocument/2006/customXml" ds:itemID="{EE7B1A6F-5D24-4F00-AE18-0447D4990B00}">
  <ds:schemaRefs>
    <ds:schemaRef ds:uri="http://schemas.microsoft.com/office/2006/metadata/properties"/>
    <ds:schemaRef ds:uri="http://schemas.microsoft.com/office/infopath/2007/PartnerControls"/>
    <ds:schemaRef ds:uri="7c93f5d7-c97b-42ba-8c7f-be2647354d3b"/>
    <ds:schemaRef ds:uri="3937b2c0-dc68-4adf-b7ba-70810d8a24f4"/>
  </ds:schemaRefs>
</ds:datastoreItem>
</file>

<file path=customXml/itemProps4.xml><?xml version="1.0" encoding="utf-8"?>
<ds:datastoreItem xmlns:ds="http://schemas.openxmlformats.org/officeDocument/2006/customXml" ds:itemID="{05EA93D9-9CF6-4163-9CCC-A157EF0181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2023-09-21T15:54:00Z</dcterms:created>
  <dcterms:modified xsi:type="dcterms:W3CDTF">2023-09-24T16:05:00Z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0x010100914FC80BAFE1EB49BBD0A679F93B3131</vt:lpwstr>
  </property>
</Properties>
</file>